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93BD0" w14:textId="77777777" w:rsidR="00AF6ECC" w:rsidRPr="006843FF" w:rsidRDefault="00AF6ECC" w:rsidP="00AF6ECC">
      <w:pPr>
        <w:spacing w:line="240" w:lineRule="auto"/>
        <w:jc w:val="center"/>
        <w:rPr>
          <w:rFonts w:asciiTheme="minorHAnsi" w:hAnsiTheme="minorHAnsi" w:cstheme="minorHAnsi"/>
          <w:b/>
          <w:bCs/>
          <w:sz w:val="22"/>
          <w:szCs w:val="22"/>
          <w:lang w:val="es-MX"/>
        </w:rPr>
      </w:pPr>
      <w:bookmarkStart w:id="0" w:name="_GoBack"/>
      <w:bookmarkEnd w:id="0"/>
      <w:r w:rsidRPr="006843FF">
        <w:rPr>
          <w:rFonts w:asciiTheme="minorHAnsi" w:hAnsiTheme="minorHAnsi" w:cstheme="minorHAnsi"/>
          <w:b/>
          <w:bCs/>
          <w:sz w:val="22"/>
          <w:szCs w:val="22"/>
          <w:lang w:val="es-MX"/>
        </w:rPr>
        <w:t>Anexo 3</w:t>
      </w:r>
    </w:p>
    <w:p w14:paraId="2098929A" w14:textId="77777777" w:rsidR="00AF6ECC" w:rsidRPr="006843FF" w:rsidRDefault="00AF6ECC" w:rsidP="00AF6ECC">
      <w:pPr>
        <w:spacing w:line="240" w:lineRule="auto"/>
        <w:jc w:val="center"/>
        <w:rPr>
          <w:rFonts w:asciiTheme="minorHAnsi" w:hAnsiTheme="minorHAnsi" w:cstheme="minorHAnsi"/>
          <w:b/>
          <w:bCs/>
          <w:sz w:val="22"/>
          <w:szCs w:val="22"/>
          <w:lang w:val="es-MX"/>
        </w:rPr>
      </w:pPr>
    </w:p>
    <w:p w14:paraId="183CD0F9" w14:textId="77777777" w:rsidR="00AF6ECC" w:rsidRPr="006843FF" w:rsidRDefault="00AF6ECC" w:rsidP="00AF6ECC">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Formato de Oferta de Garantía</w:t>
      </w:r>
    </w:p>
    <w:p w14:paraId="7029AEAE" w14:textId="77777777" w:rsidR="00AF6ECC" w:rsidRPr="006843FF" w:rsidRDefault="00AF6ECC" w:rsidP="00AF6ECC">
      <w:pPr>
        <w:spacing w:line="240" w:lineRule="auto"/>
        <w:rPr>
          <w:rFonts w:asciiTheme="minorHAnsi" w:hAnsiTheme="minorHAnsi" w:cstheme="minorHAnsi"/>
          <w:sz w:val="22"/>
          <w:szCs w:val="22"/>
        </w:rPr>
      </w:pPr>
    </w:p>
    <w:p w14:paraId="0A1F3B55" w14:textId="77777777" w:rsidR="00AF6ECC" w:rsidRPr="006843FF" w:rsidRDefault="00AF6ECC" w:rsidP="00AF6ECC">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lang w:val="es-MX"/>
        </w:rPr>
        <w:t>[</w:t>
      </w:r>
      <w:r w:rsidRPr="006843FF">
        <w:rPr>
          <w:rFonts w:asciiTheme="minorHAnsi" w:hAnsiTheme="minorHAnsi" w:cstheme="minorHAnsi"/>
          <w:i/>
          <w:sz w:val="22"/>
          <w:szCs w:val="22"/>
          <w:lang w:val="es-MX"/>
        </w:rPr>
        <w:t>Membrete de la institución Licitante</w:t>
      </w:r>
      <w:r w:rsidRPr="006843FF">
        <w:rPr>
          <w:rFonts w:asciiTheme="minorHAnsi" w:hAnsiTheme="minorHAnsi" w:cstheme="minorHAnsi"/>
          <w:sz w:val="22"/>
          <w:szCs w:val="22"/>
          <w:lang w:val="es-MX"/>
        </w:rPr>
        <w:t>]</w:t>
      </w:r>
    </w:p>
    <w:p w14:paraId="6B33D191" w14:textId="77777777" w:rsidR="00AF6ECC" w:rsidRPr="006843FF" w:rsidRDefault="00AF6ECC" w:rsidP="00AF6ECC">
      <w:pPr>
        <w:spacing w:line="240" w:lineRule="auto"/>
        <w:jc w:val="right"/>
        <w:rPr>
          <w:rFonts w:asciiTheme="minorHAnsi" w:hAnsiTheme="minorHAnsi" w:cstheme="minorHAnsi"/>
          <w:sz w:val="22"/>
          <w:szCs w:val="22"/>
          <w:lang w:val="es-MX"/>
        </w:rPr>
      </w:pPr>
    </w:p>
    <w:p w14:paraId="3DFB8F87" w14:textId="77777777" w:rsidR="00AF6ECC" w:rsidRPr="006843FF" w:rsidRDefault="00AF6ECC" w:rsidP="00AF6ECC">
      <w:pPr>
        <w:spacing w:line="240" w:lineRule="auto"/>
        <w:jc w:val="right"/>
        <w:rPr>
          <w:rFonts w:asciiTheme="minorHAnsi" w:hAnsiTheme="minorHAnsi" w:cstheme="minorHAnsi"/>
          <w:sz w:val="22"/>
          <w:szCs w:val="22"/>
        </w:rPr>
      </w:pPr>
      <w:r w:rsidRPr="006843FF">
        <w:rPr>
          <w:rFonts w:asciiTheme="minorHAnsi" w:hAnsiTheme="minorHAnsi" w:cstheme="minorHAnsi"/>
          <w:sz w:val="22"/>
          <w:szCs w:val="22"/>
        </w:rPr>
        <w:t>Morelos, Cuernavaca a [●] de [●] de 2021.</w:t>
      </w:r>
    </w:p>
    <w:p w14:paraId="76BDFE96" w14:textId="77777777" w:rsidR="00AF6ECC" w:rsidRPr="006843FF" w:rsidRDefault="00AF6ECC" w:rsidP="00AF6ECC">
      <w:pPr>
        <w:spacing w:line="240" w:lineRule="auto"/>
        <w:jc w:val="right"/>
        <w:rPr>
          <w:rFonts w:asciiTheme="minorHAnsi" w:hAnsiTheme="minorHAnsi" w:cstheme="minorHAnsi"/>
          <w:sz w:val="22"/>
          <w:szCs w:val="22"/>
        </w:rPr>
      </w:pPr>
    </w:p>
    <w:p w14:paraId="71DCCACF" w14:textId="77777777" w:rsidR="00AF6ECC" w:rsidRPr="006843FF" w:rsidRDefault="00AF6ECC" w:rsidP="00AF6ECC">
      <w:pPr>
        <w:spacing w:line="240" w:lineRule="auto"/>
        <w:rPr>
          <w:rFonts w:asciiTheme="minorHAnsi" w:hAnsiTheme="minorHAnsi" w:cstheme="minorHAnsi"/>
          <w:b/>
          <w:bCs/>
          <w:sz w:val="22"/>
          <w:szCs w:val="22"/>
        </w:rPr>
      </w:pPr>
      <w:r w:rsidRPr="006843FF">
        <w:rPr>
          <w:rFonts w:asciiTheme="minorHAnsi" w:hAnsiTheme="minorHAnsi" w:cstheme="minorHAnsi"/>
          <w:b/>
          <w:bCs/>
          <w:sz w:val="22"/>
          <w:szCs w:val="22"/>
        </w:rPr>
        <w:t>Secretar</w:t>
      </w:r>
      <w:r>
        <w:rPr>
          <w:rFonts w:asciiTheme="minorHAnsi" w:hAnsiTheme="minorHAnsi" w:cstheme="minorHAnsi"/>
          <w:b/>
          <w:bCs/>
          <w:sz w:val="22"/>
          <w:szCs w:val="22"/>
        </w:rPr>
        <w:t>í</w:t>
      </w:r>
      <w:r w:rsidRPr="006843FF">
        <w:rPr>
          <w:rFonts w:asciiTheme="minorHAnsi" w:hAnsiTheme="minorHAnsi" w:cstheme="minorHAnsi"/>
          <w:b/>
          <w:bCs/>
          <w:sz w:val="22"/>
          <w:szCs w:val="22"/>
        </w:rPr>
        <w:t xml:space="preserve">a de Hacienda del </w:t>
      </w:r>
      <w:r>
        <w:rPr>
          <w:rFonts w:asciiTheme="minorHAnsi" w:hAnsiTheme="minorHAnsi" w:cstheme="minorHAnsi"/>
          <w:b/>
          <w:bCs/>
          <w:sz w:val="22"/>
          <w:szCs w:val="22"/>
        </w:rPr>
        <w:t xml:space="preserve">Poder Ejecutivo del </w:t>
      </w:r>
      <w:r w:rsidRPr="006843FF">
        <w:rPr>
          <w:rFonts w:asciiTheme="minorHAnsi" w:hAnsiTheme="minorHAnsi" w:cstheme="minorHAnsi"/>
          <w:b/>
          <w:bCs/>
          <w:sz w:val="22"/>
          <w:szCs w:val="22"/>
        </w:rPr>
        <w:t>Estado de Morelos</w:t>
      </w:r>
    </w:p>
    <w:p w14:paraId="3E5D4D07" w14:textId="77777777" w:rsidR="00AF6ECC" w:rsidRPr="006843FF" w:rsidRDefault="00AF6ECC" w:rsidP="00AF6ECC">
      <w:pPr>
        <w:spacing w:line="240" w:lineRule="auto"/>
        <w:rPr>
          <w:rFonts w:asciiTheme="minorHAnsi" w:hAnsiTheme="minorHAnsi" w:cstheme="minorHAnsi"/>
          <w:b/>
          <w:sz w:val="22"/>
          <w:szCs w:val="22"/>
        </w:rPr>
      </w:pPr>
      <w:r w:rsidRPr="006843FF">
        <w:rPr>
          <w:rFonts w:asciiTheme="minorHAnsi" w:hAnsiTheme="minorHAnsi" w:cstheme="minorHAnsi"/>
          <w:b/>
          <w:sz w:val="22"/>
          <w:szCs w:val="22"/>
        </w:rPr>
        <w:t>P r e s e n t e</w:t>
      </w:r>
    </w:p>
    <w:p w14:paraId="1C60D9B1" w14:textId="77777777" w:rsidR="00AF6ECC" w:rsidRDefault="00AF6ECC" w:rsidP="00AF6ECC">
      <w:pPr>
        <w:spacing w:line="240" w:lineRule="auto"/>
        <w:rPr>
          <w:rFonts w:asciiTheme="minorHAnsi" w:hAnsiTheme="minorHAnsi" w:cstheme="minorHAnsi"/>
          <w:sz w:val="22"/>
          <w:szCs w:val="22"/>
          <w:lang w:val="es-MX"/>
        </w:rPr>
      </w:pPr>
    </w:p>
    <w:p w14:paraId="4A8C0E1A" w14:textId="77777777" w:rsidR="00AF6ECC" w:rsidRPr="004244CB" w:rsidRDefault="00AF6ECC" w:rsidP="00AF6ECC">
      <w:pPr>
        <w:spacing w:line="240" w:lineRule="auto"/>
        <w:ind w:firstLine="708"/>
        <w:rPr>
          <w:rFonts w:asciiTheme="minorHAnsi" w:hAnsiTheme="minorHAnsi" w:cstheme="minorHAnsi"/>
          <w:sz w:val="22"/>
          <w:szCs w:val="22"/>
          <w:lang w:val="es-MX"/>
        </w:rPr>
      </w:pPr>
    </w:p>
    <w:p w14:paraId="7A05DB20" w14:textId="77777777" w:rsidR="00AF6ECC" w:rsidRDefault="00AF6ECC" w:rsidP="00AF6ECC">
      <w:pPr>
        <w:tabs>
          <w:tab w:val="left" w:pos="5103"/>
        </w:tabs>
        <w:spacing w:line="240" w:lineRule="auto"/>
        <w:ind w:left="3969"/>
        <w:jc w:val="center"/>
        <w:rPr>
          <w:rFonts w:asciiTheme="minorHAnsi" w:hAnsiTheme="minorHAnsi" w:cstheme="minorHAnsi"/>
          <w:sz w:val="22"/>
          <w:szCs w:val="22"/>
        </w:rPr>
      </w:pPr>
      <w:r w:rsidRPr="004244CB">
        <w:rPr>
          <w:rFonts w:asciiTheme="minorHAnsi" w:hAnsiTheme="minorHAnsi" w:cstheme="minorHAnsi"/>
          <w:b/>
          <w:bCs/>
          <w:sz w:val="22"/>
          <w:szCs w:val="22"/>
          <w:lang w:val="es-MX"/>
        </w:rPr>
        <w:t>Atención:</w:t>
      </w:r>
      <w:r>
        <w:rPr>
          <w:rFonts w:asciiTheme="minorHAnsi" w:hAnsiTheme="minorHAnsi" w:cstheme="minorHAnsi"/>
          <w:sz w:val="22"/>
          <w:szCs w:val="22"/>
          <w:lang w:val="es-MX"/>
        </w:rPr>
        <w:tab/>
      </w:r>
      <w:r w:rsidRPr="004244CB">
        <w:rPr>
          <w:rFonts w:asciiTheme="minorHAnsi" w:hAnsiTheme="minorHAnsi" w:cstheme="minorHAnsi"/>
          <w:sz w:val="22"/>
          <w:szCs w:val="22"/>
        </w:rPr>
        <w:t>Lic. Mónica Boggio Tomasaz Merino</w:t>
      </w:r>
      <w:r>
        <w:rPr>
          <w:rFonts w:asciiTheme="minorHAnsi" w:hAnsiTheme="minorHAnsi" w:cstheme="minorHAnsi"/>
          <w:sz w:val="22"/>
          <w:szCs w:val="22"/>
        </w:rPr>
        <w:t>.</w:t>
      </w:r>
    </w:p>
    <w:p w14:paraId="4DB4591A" w14:textId="06CDE834" w:rsidR="00AF6ECC" w:rsidRPr="004244CB" w:rsidRDefault="00AF6ECC" w:rsidP="00B81281">
      <w:pPr>
        <w:tabs>
          <w:tab w:val="left" w:pos="5387"/>
        </w:tabs>
        <w:spacing w:line="240" w:lineRule="auto"/>
        <w:ind w:left="5387" w:hanging="142"/>
        <w:jc w:val="left"/>
        <w:rPr>
          <w:rFonts w:asciiTheme="minorHAnsi" w:hAnsiTheme="minorHAnsi" w:cstheme="minorHAnsi"/>
          <w:sz w:val="22"/>
          <w:szCs w:val="22"/>
        </w:rPr>
      </w:pPr>
      <w:r>
        <w:rPr>
          <w:rFonts w:asciiTheme="minorHAnsi" w:hAnsiTheme="minorHAnsi" w:cstheme="minorHAnsi"/>
          <w:sz w:val="22"/>
          <w:szCs w:val="22"/>
        </w:rPr>
        <w:t>Secretaria de Hacienda.</w:t>
      </w:r>
    </w:p>
    <w:p w14:paraId="1ACB2BAA" w14:textId="77777777" w:rsidR="00AF6ECC" w:rsidRPr="006843FF" w:rsidRDefault="00AF6ECC" w:rsidP="00AF6ECC">
      <w:pPr>
        <w:spacing w:line="240" w:lineRule="auto"/>
        <w:ind w:firstLine="708"/>
        <w:rPr>
          <w:rFonts w:asciiTheme="minorHAnsi" w:hAnsiTheme="minorHAnsi" w:cstheme="minorHAnsi"/>
          <w:sz w:val="22"/>
          <w:szCs w:val="22"/>
          <w:lang w:val="es-MX"/>
        </w:rPr>
      </w:pPr>
    </w:p>
    <w:p w14:paraId="7F56DDD7" w14:textId="2451CCBD" w:rsidR="00AF6ECC" w:rsidRPr="006843FF" w:rsidRDefault="00AF6ECC" w:rsidP="00AF6ECC">
      <w:pPr>
        <w:spacing w:line="240" w:lineRule="auto"/>
        <w:ind w:firstLine="708"/>
        <w:rPr>
          <w:rFonts w:asciiTheme="minorHAnsi" w:hAnsiTheme="minorHAnsi" w:cstheme="minorHAnsi"/>
          <w:sz w:val="22"/>
          <w:szCs w:val="22"/>
          <w:lang w:val="es-MX"/>
        </w:rPr>
      </w:pPr>
      <w:r w:rsidRPr="006843FF">
        <w:rPr>
          <w:rFonts w:asciiTheme="minorHAnsi" w:hAnsiTheme="minorHAnsi" w:cstheme="minorHAnsi"/>
          <w:sz w:val="22"/>
          <w:szCs w:val="22"/>
          <w:lang w:val="es-MX"/>
        </w:rPr>
        <w:t>[●], representada por [●], (en adelante el “</w:t>
      </w:r>
      <w:r w:rsidRPr="006843FF">
        <w:rPr>
          <w:rFonts w:asciiTheme="minorHAnsi" w:hAnsiTheme="minorHAnsi" w:cstheme="minorHAnsi"/>
          <w:i/>
          <w:sz w:val="22"/>
          <w:szCs w:val="22"/>
          <w:u w:val="single"/>
          <w:lang w:val="es-MX"/>
        </w:rPr>
        <w:t>Licitante</w:t>
      </w:r>
      <w:r w:rsidRPr="006843FF">
        <w:rPr>
          <w:rFonts w:asciiTheme="minorHAnsi" w:hAnsiTheme="minorHAnsi" w:cstheme="minorHAnsi"/>
          <w:sz w:val="22"/>
          <w:szCs w:val="22"/>
          <w:lang w:val="es-MX"/>
        </w:rPr>
        <w:t>”), en la Licitación Pública N°</w:t>
      </w:r>
      <w:r w:rsidRPr="006843FF">
        <w:rPr>
          <w:rFonts w:asciiTheme="minorHAnsi" w:eastAsia="Arial" w:hAnsiTheme="minorHAnsi" w:cstheme="minorHAnsi"/>
          <w:color w:val="000000"/>
          <w:spacing w:val="-1"/>
          <w:sz w:val="22"/>
          <w:szCs w:val="22"/>
          <w:lang w:val="es-MX"/>
        </w:rPr>
        <w:t xml:space="preserve"> </w:t>
      </w:r>
      <w:r w:rsidRPr="006D1026">
        <w:rPr>
          <w:rFonts w:asciiTheme="minorHAnsi" w:eastAsia="Arial" w:hAnsiTheme="minorHAnsi" w:cstheme="minorHAnsi"/>
          <w:color w:val="000000"/>
          <w:spacing w:val="-1"/>
          <w:sz w:val="22"/>
          <w:szCs w:val="22"/>
          <w:lang w:val="es-MX"/>
        </w:rPr>
        <w:t>GEM-SH-001-2021</w:t>
      </w:r>
      <w:r w:rsidRPr="006843FF">
        <w:rPr>
          <w:rFonts w:asciiTheme="minorHAnsi" w:hAnsiTheme="minorHAnsi" w:cstheme="minorHAnsi"/>
          <w:sz w:val="22"/>
          <w:szCs w:val="22"/>
          <w:lang w:val="es-MX"/>
        </w:rPr>
        <w:t xml:space="preserve">, convocada el pasado </w:t>
      </w:r>
      <w:r>
        <w:rPr>
          <w:rFonts w:asciiTheme="minorHAnsi" w:eastAsia="Arial" w:hAnsiTheme="minorHAnsi" w:cstheme="minorHAnsi"/>
          <w:color w:val="000000"/>
          <w:spacing w:val="-1"/>
          <w:sz w:val="22"/>
          <w:szCs w:val="22"/>
          <w:lang w:val="es-MX"/>
        </w:rPr>
        <w:t>06</w:t>
      </w:r>
      <w:r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 xml:space="preserve">de </w:t>
      </w:r>
      <w:r>
        <w:rPr>
          <w:rFonts w:asciiTheme="minorHAnsi" w:eastAsia="Arial" w:hAnsiTheme="minorHAnsi" w:cstheme="minorHAnsi"/>
          <w:color w:val="000000"/>
          <w:spacing w:val="-1"/>
          <w:sz w:val="22"/>
          <w:szCs w:val="22"/>
          <w:lang w:val="es-MX"/>
        </w:rPr>
        <w:t>abril</w:t>
      </w:r>
      <w:r w:rsidRPr="006843FF">
        <w:rPr>
          <w:rFonts w:asciiTheme="minorHAnsi" w:eastAsia="Arial" w:hAnsiTheme="minorHAnsi" w:cstheme="minorHAnsi"/>
          <w:color w:val="000000"/>
          <w:spacing w:val="-1"/>
          <w:sz w:val="22"/>
          <w:szCs w:val="22"/>
          <w:lang w:val="es-MX"/>
        </w:rPr>
        <w:t xml:space="preserve"> </w:t>
      </w:r>
      <w:r w:rsidRPr="006843FF">
        <w:rPr>
          <w:rFonts w:asciiTheme="minorHAnsi" w:hAnsiTheme="minorHAnsi" w:cstheme="minorHAnsi"/>
          <w:sz w:val="22"/>
          <w:szCs w:val="22"/>
          <w:lang w:val="es-MX"/>
        </w:rPr>
        <w:t>de 2021, por el Estado Libre y Soberano de Morelos, a través de la Secretaría de Hacienda del Poder Ejecutivo</w:t>
      </w:r>
      <w:r>
        <w:rPr>
          <w:rFonts w:asciiTheme="minorHAnsi" w:hAnsiTheme="minorHAnsi" w:cstheme="minorHAnsi"/>
          <w:sz w:val="22"/>
          <w:szCs w:val="22"/>
          <w:lang w:val="es-MX"/>
        </w:rPr>
        <w:t xml:space="preserve"> del Estado</w:t>
      </w:r>
      <w:r w:rsidRPr="006843FF">
        <w:rPr>
          <w:rFonts w:asciiTheme="minorHAnsi" w:hAnsiTheme="minorHAnsi" w:cstheme="minorHAnsi"/>
          <w:sz w:val="22"/>
          <w:szCs w:val="22"/>
          <w:lang w:val="es-MX"/>
        </w:rPr>
        <w:t xml:space="preserve">, presenta la siguiente Oferta de Garantía para el Financiamiento, conforme al numeral 5 de las Bases de la Licitación Pública </w:t>
      </w:r>
      <w:r w:rsidRPr="006D1026">
        <w:rPr>
          <w:rFonts w:asciiTheme="minorHAnsi" w:hAnsiTheme="minorHAnsi" w:cstheme="minorHAnsi"/>
          <w:sz w:val="22"/>
          <w:szCs w:val="22"/>
          <w:lang w:val="es-MX"/>
        </w:rPr>
        <w:t>GEM-SH-001-2021</w:t>
      </w:r>
      <w:r w:rsidRPr="006843FF">
        <w:rPr>
          <w:rFonts w:asciiTheme="minorHAnsi" w:hAnsiTheme="minorHAnsi" w:cstheme="minorHAnsi"/>
          <w:sz w:val="22"/>
          <w:szCs w:val="22"/>
          <w:lang w:val="es-MX"/>
        </w:rPr>
        <w:t xml:space="preserve"> (en adelante las “</w:t>
      </w:r>
      <w:r w:rsidRPr="006843FF">
        <w:rPr>
          <w:rFonts w:asciiTheme="minorHAnsi" w:hAnsiTheme="minorHAnsi" w:cstheme="minorHAnsi"/>
          <w:i/>
          <w:sz w:val="22"/>
          <w:szCs w:val="22"/>
          <w:u w:val="single"/>
          <w:lang w:val="es-MX"/>
        </w:rPr>
        <w:t>Bases de Licitación</w:t>
      </w:r>
      <w:r w:rsidRPr="006843FF">
        <w:rPr>
          <w:rFonts w:asciiTheme="minorHAnsi" w:hAnsiTheme="minorHAnsi" w:cstheme="minorHAnsi"/>
          <w:sz w:val="22"/>
          <w:szCs w:val="22"/>
          <w:lang w:val="es-MX"/>
        </w:rPr>
        <w:t>”).</w:t>
      </w:r>
    </w:p>
    <w:p w14:paraId="42896D14" w14:textId="77777777" w:rsidR="00AF6ECC" w:rsidRPr="006843FF" w:rsidRDefault="00AF6ECC" w:rsidP="00AF6ECC">
      <w:pPr>
        <w:spacing w:line="240" w:lineRule="auto"/>
        <w:ind w:firstLine="708"/>
        <w:rPr>
          <w:rFonts w:asciiTheme="minorHAnsi" w:hAnsiTheme="minorHAnsi" w:cstheme="minorHAnsi"/>
          <w:sz w:val="22"/>
          <w:szCs w:val="22"/>
          <w:lang w:val="es-MX"/>
        </w:rPr>
      </w:pPr>
    </w:p>
    <w:p w14:paraId="2D2A685E" w14:textId="71282AD3" w:rsidR="00AF6ECC" w:rsidRPr="006843FF" w:rsidRDefault="00AF6ECC" w:rsidP="00AF6ECC">
      <w:pPr>
        <w:spacing w:line="240" w:lineRule="auto"/>
        <w:ind w:firstLine="708"/>
        <w:rPr>
          <w:rFonts w:asciiTheme="minorHAnsi" w:hAnsiTheme="minorHAnsi" w:cstheme="minorHAnsi"/>
          <w:sz w:val="22"/>
          <w:szCs w:val="22"/>
        </w:rPr>
      </w:pPr>
      <w:r w:rsidRPr="006843FF">
        <w:rPr>
          <w:rFonts w:asciiTheme="minorHAnsi" w:hAnsiTheme="minorHAnsi" w:cstheme="minorHAnsi"/>
          <w:sz w:val="22"/>
          <w:szCs w:val="22"/>
        </w:rPr>
        <w:t>Los términos en mayúscula inicial que no se encuentren expresamente definidos en la presente tendrán el significado que se les atribuye en las Bases de Licitación (incluyendo sus modificaciones), expedidas por la Secretaría.</w:t>
      </w:r>
    </w:p>
    <w:p w14:paraId="4EF2984B" w14:textId="77777777" w:rsidR="00AF6ECC" w:rsidRPr="006843FF" w:rsidRDefault="00AF6ECC" w:rsidP="00AF6ECC">
      <w:pPr>
        <w:spacing w:line="240" w:lineRule="auto"/>
        <w:ind w:firstLine="708"/>
        <w:rPr>
          <w:rFonts w:asciiTheme="minorHAnsi" w:hAnsiTheme="minorHAnsi" w:cstheme="minorHAnsi"/>
          <w:sz w:val="22"/>
          <w:szCs w:val="22"/>
        </w:rPr>
      </w:pPr>
    </w:p>
    <w:p w14:paraId="4BC94D49" w14:textId="6E902CD2" w:rsidR="00AF6ECC" w:rsidRPr="006843FF" w:rsidRDefault="00AF6ECC" w:rsidP="00AF6ECC">
      <w:pPr>
        <w:spacing w:line="240" w:lineRule="auto"/>
        <w:ind w:firstLine="708"/>
        <w:rPr>
          <w:rFonts w:asciiTheme="minorHAnsi" w:hAnsiTheme="minorHAnsi" w:cstheme="minorHAnsi"/>
          <w:sz w:val="22"/>
          <w:szCs w:val="22"/>
        </w:rPr>
      </w:pPr>
      <w:r w:rsidRPr="006843FF">
        <w:rPr>
          <w:rFonts w:asciiTheme="minorHAnsi" w:hAnsiTheme="minorHAnsi" w:cstheme="minorHAnsi"/>
          <w:sz w:val="22"/>
          <w:szCs w:val="22"/>
        </w:rPr>
        <w:t>El Licitante manifiesta que la presente Oferta de Garantía constituye una oferta en firme, vinculante e irrevocable, con una vigencia de 90 (noventa)</w:t>
      </w:r>
      <w:r>
        <w:rPr>
          <w:rStyle w:val="Refdenotaalpie"/>
          <w:rFonts w:asciiTheme="minorHAnsi" w:hAnsiTheme="minorHAnsi" w:cstheme="minorHAnsi"/>
          <w:sz w:val="22"/>
          <w:szCs w:val="22"/>
        </w:rPr>
        <w:footnoteReference w:id="2"/>
      </w:r>
      <w:r w:rsidRPr="006843FF">
        <w:rPr>
          <w:rFonts w:asciiTheme="minorHAnsi" w:hAnsiTheme="minorHAnsi" w:cstheme="minorHAnsi"/>
          <w:sz w:val="22"/>
          <w:szCs w:val="22"/>
        </w:rPr>
        <w:t xml:space="preserve"> días naturales, contados a partir de la fecha del Acto de Presentación y Apertura de Ofertas, que se celebra el día </w:t>
      </w:r>
      <w:r w:rsidR="00526781">
        <w:rPr>
          <w:rFonts w:asciiTheme="minorHAnsi" w:hAnsiTheme="minorHAnsi" w:cstheme="minorHAnsi"/>
          <w:sz w:val="22"/>
          <w:szCs w:val="22"/>
        </w:rPr>
        <w:t>24</w:t>
      </w:r>
      <w:r w:rsidRPr="006843FF">
        <w:rPr>
          <w:rFonts w:asciiTheme="minorHAnsi" w:hAnsiTheme="minorHAnsi" w:cstheme="minorHAnsi"/>
          <w:sz w:val="22"/>
          <w:szCs w:val="22"/>
        </w:rPr>
        <w:t xml:space="preserve"> de </w:t>
      </w:r>
      <w:r w:rsidR="00526781">
        <w:rPr>
          <w:rFonts w:asciiTheme="minorHAnsi" w:hAnsiTheme="minorHAnsi" w:cstheme="minorHAnsi"/>
          <w:sz w:val="22"/>
          <w:szCs w:val="22"/>
        </w:rPr>
        <w:t>mayo</w:t>
      </w:r>
      <w:r w:rsidRPr="006843FF">
        <w:rPr>
          <w:rFonts w:asciiTheme="minorHAnsi" w:hAnsiTheme="minorHAnsi" w:cstheme="minorHAnsi"/>
          <w:sz w:val="22"/>
          <w:szCs w:val="22"/>
        </w:rPr>
        <w:t xml:space="preserve"> de 2021, bajo las siguientes condiciones:</w:t>
      </w:r>
    </w:p>
    <w:p w14:paraId="04A6D3C6" w14:textId="77777777" w:rsidR="00AF6ECC" w:rsidRPr="006843FF" w:rsidRDefault="00AF6ECC" w:rsidP="00AF6ECC">
      <w:pPr>
        <w:spacing w:line="240" w:lineRule="auto"/>
        <w:ind w:firstLine="708"/>
        <w:rPr>
          <w:rFonts w:asciiTheme="minorHAnsi" w:hAnsiTheme="minorHAnsi" w:cstheme="minorHAnsi"/>
          <w:sz w:val="22"/>
          <w:szCs w:val="22"/>
          <w:lang w:val="es-MX"/>
        </w:rPr>
      </w:pPr>
    </w:p>
    <w:tbl>
      <w:tblPr>
        <w:tblStyle w:val="Tablaconcuadrcula"/>
        <w:tblW w:w="88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969"/>
        <w:gridCol w:w="4864"/>
      </w:tblGrid>
      <w:tr w:rsidR="00AF6ECC" w:rsidRPr="006843FF" w14:paraId="6A2C0EB1" w14:textId="77777777" w:rsidTr="00682B6D">
        <w:tc>
          <w:tcPr>
            <w:tcW w:w="3969" w:type="dxa"/>
            <w:tcBorders>
              <w:top w:val="single" w:sz="4" w:space="0" w:color="auto"/>
              <w:left w:val="single" w:sz="4" w:space="0" w:color="auto"/>
              <w:bottom w:val="single" w:sz="4" w:space="0" w:color="auto"/>
              <w:right w:val="single" w:sz="4" w:space="0" w:color="auto"/>
            </w:tcBorders>
            <w:hideMark/>
          </w:tcPr>
          <w:p w14:paraId="0F16F5C6" w14:textId="77777777" w:rsidR="00AF6ECC" w:rsidRPr="006843FF" w:rsidRDefault="00AF6ECC" w:rsidP="00682B6D">
            <w:pPr>
              <w:spacing w:line="240" w:lineRule="auto"/>
              <w:jc w:val="left"/>
              <w:rPr>
                <w:rFonts w:asciiTheme="minorHAnsi" w:hAnsiTheme="minorHAnsi"/>
                <w:sz w:val="22"/>
              </w:rPr>
            </w:pPr>
            <w:r w:rsidRPr="007B7EE9">
              <w:rPr>
                <w:rFonts w:asciiTheme="minorHAnsi" w:hAnsiTheme="minorHAnsi"/>
                <w:b/>
                <w:sz w:val="22"/>
              </w:rPr>
              <w:t>Margen aplicable</w:t>
            </w:r>
            <w:r w:rsidRPr="006843FF">
              <w:rPr>
                <w:rFonts w:asciiTheme="minorHAnsi" w:hAnsiTheme="minorHAnsi"/>
                <w:b/>
                <w:sz w:val="22"/>
                <w:vertAlign w:val="superscript"/>
              </w:rPr>
              <w:t xml:space="preserve"> </w:t>
            </w:r>
            <w:r w:rsidRPr="006843FF">
              <w:rPr>
                <w:rFonts w:asciiTheme="minorHAnsi" w:hAnsiTheme="minorHAnsi"/>
                <w:b/>
                <w:sz w:val="22"/>
              </w:rPr>
              <w:t>a la Calificación Sombra Preliminar en escala nacional de [●], o su equivalente, para determinar la Contraprestación Mensual de la Garantía</w:t>
            </w:r>
            <w:r w:rsidRPr="006843FF">
              <w:rPr>
                <w:rFonts w:asciiTheme="minorHAnsi" w:hAnsiTheme="minorHAnsi"/>
                <w:sz w:val="22"/>
              </w:rPr>
              <w:t>:</w:t>
            </w:r>
          </w:p>
          <w:p w14:paraId="7EDF7229" w14:textId="77777777" w:rsidR="00AF6ECC" w:rsidRPr="006843FF" w:rsidRDefault="00AF6ECC" w:rsidP="00682B6D">
            <w:pPr>
              <w:spacing w:line="240" w:lineRule="auto"/>
              <w:rPr>
                <w:rFonts w:asciiTheme="minorHAnsi" w:hAnsiTheme="minorHAnsi"/>
                <w:b/>
                <w:sz w:val="22"/>
              </w:rPr>
            </w:pPr>
          </w:p>
        </w:tc>
        <w:tc>
          <w:tcPr>
            <w:tcW w:w="4864" w:type="dxa"/>
            <w:tcBorders>
              <w:top w:val="single" w:sz="4" w:space="0" w:color="auto"/>
              <w:left w:val="single" w:sz="4" w:space="0" w:color="auto"/>
              <w:bottom w:val="single" w:sz="4" w:space="0" w:color="auto"/>
              <w:right w:val="single" w:sz="4" w:space="0" w:color="auto"/>
            </w:tcBorders>
            <w:hideMark/>
          </w:tcPr>
          <w:p w14:paraId="5D2B88CD" w14:textId="77777777" w:rsidR="00AF6ECC" w:rsidRPr="006843FF" w:rsidRDefault="00AF6ECC" w:rsidP="00682B6D">
            <w:pPr>
              <w:spacing w:line="240" w:lineRule="auto"/>
              <w:rPr>
                <w:rFonts w:asciiTheme="minorHAnsi" w:hAnsiTheme="minorHAnsi" w:cstheme="minorHAnsi"/>
                <w:sz w:val="22"/>
                <w:szCs w:val="22"/>
              </w:rPr>
            </w:pPr>
            <w:r w:rsidRPr="006843FF">
              <w:rPr>
                <w:rFonts w:asciiTheme="minorHAnsi" w:hAnsiTheme="minorHAnsi" w:cstheme="minorHAnsi"/>
                <w:sz w:val="22"/>
                <w:szCs w:val="22"/>
              </w:rPr>
              <w:t>[●]%.</w:t>
            </w:r>
          </w:p>
        </w:tc>
      </w:tr>
    </w:tbl>
    <w:p w14:paraId="373C7D8F" w14:textId="77777777" w:rsidR="00AF6ECC" w:rsidRDefault="00AF6ECC" w:rsidP="00AF6ECC">
      <w:pPr>
        <w:spacing w:line="240" w:lineRule="auto"/>
        <w:jc w:val="center"/>
        <w:rPr>
          <w:rFonts w:asciiTheme="minorHAnsi" w:hAnsiTheme="minorHAnsi" w:cstheme="minorHAnsi"/>
          <w:b/>
          <w:bCs/>
          <w:sz w:val="22"/>
          <w:szCs w:val="22"/>
        </w:rPr>
      </w:pPr>
    </w:p>
    <w:p w14:paraId="26A9A7F3" w14:textId="77777777" w:rsidR="00526781" w:rsidRDefault="00526781" w:rsidP="00AF6ECC">
      <w:pPr>
        <w:spacing w:line="240" w:lineRule="auto"/>
        <w:jc w:val="center"/>
        <w:rPr>
          <w:rFonts w:asciiTheme="minorHAnsi" w:hAnsiTheme="minorHAnsi" w:cstheme="minorHAnsi"/>
          <w:b/>
          <w:bCs/>
          <w:sz w:val="22"/>
          <w:szCs w:val="22"/>
        </w:rPr>
      </w:pPr>
    </w:p>
    <w:p w14:paraId="559CD650" w14:textId="77777777" w:rsidR="00526781" w:rsidRDefault="00526781" w:rsidP="00AF6ECC">
      <w:pPr>
        <w:spacing w:line="240" w:lineRule="auto"/>
        <w:jc w:val="center"/>
        <w:rPr>
          <w:rFonts w:asciiTheme="minorHAnsi" w:hAnsiTheme="minorHAnsi" w:cstheme="minorHAnsi"/>
          <w:b/>
          <w:bCs/>
          <w:sz w:val="22"/>
          <w:szCs w:val="22"/>
        </w:rPr>
      </w:pPr>
    </w:p>
    <w:p w14:paraId="7CD6AE60" w14:textId="77777777" w:rsidR="00526781" w:rsidRDefault="00526781" w:rsidP="00AF6ECC">
      <w:pPr>
        <w:spacing w:line="240" w:lineRule="auto"/>
        <w:jc w:val="center"/>
        <w:rPr>
          <w:rFonts w:asciiTheme="minorHAnsi" w:hAnsiTheme="minorHAnsi" w:cstheme="minorHAnsi"/>
          <w:b/>
          <w:bCs/>
          <w:sz w:val="22"/>
          <w:szCs w:val="22"/>
        </w:rPr>
      </w:pPr>
    </w:p>
    <w:p w14:paraId="52EC879E" w14:textId="77777777" w:rsidR="00526781" w:rsidRDefault="00526781" w:rsidP="00AF6ECC">
      <w:pPr>
        <w:spacing w:line="240" w:lineRule="auto"/>
        <w:jc w:val="center"/>
        <w:rPr>
          <w:rFonts w:asciiTheme="minorHAnsi" w:hAnsiTheme="minorHAnsi" w:cstheme="minorHAnsi"/>
          <w:b/>
          <w:bCs/>
          <w:sz w:val="22"/>
          <w:szCs w:val="22"/>
        </w:rPr>
      </w:pPr>
    </w:p>
    <w:p w14:paraId="571BA438" w14:textId="77777777" w:rsidR="00526781" w:rsidRDefault="00526781" w:rsidP="00AF6ECC">
      <w:pPr>
        <w:spacing w:line="240" w:lineRule="auto"/>
        <w:jc w:val="center"/>
        <w:rPr>
          <w:rFonts w:asciiTheme="minorHAnsi" w:hAnsiTheme="minorHAnsi" w:cstheme="minorHAnsi"/>
          <w:b/>
          <w:bCs/>
          <w:sz w:val="22"/>
          <w:szCs w:val="22"/>
        </w:rPr>
      </w:pPr>
    </w:p>
    <w:p w14:paraId="5A77E0CB" w14:textId="77777777" w:rsidR="00526781" w:rsidRDefault="00526781" w:rsidP="00AF6ECC">
      <w:pPr>
        <w:spacing w:line="240" w:lineRule="auto"/>
        <w:jc w:val="center"/>
        <w:rPr>
          <w:rFonts w:asciiTheme="minorHAnsi" w:hAnsiTheme="minorHAnsi" w:cstheme="minorHAnsi"/>
          <w:b/>
          <w:bCs/>
          <w:sz w:val="22"/>
          <w:szCs w:val="22"/>
        </w:rPr>
      </w:pPr>
    </w:p>
    <w:p w14:paraId="43F7AD87" w14:textId="77777777" w:rsidR="00526781" w:rsidRDefault="00526781" w:rsidP="00AF6ECC">
      <w:pPr>
        <w:spacing w:line="240" w:lineRule="auto"/>
        <w:jc w:val="center"/>
        <w:rPr>
          <w:rFonts w:asciiTheme="minorHAnsi" w:hAnsiTheme="minorHAnsi" w:cstheme="minorHAnsi"/>
          <w:b/>
          <w:bCs/>
          <w:sz w:val="22"/>
          <w:szCs w:val="22"/>
        </w:rPr>
      </w:pPr>
    </w:p>
    <w:p w14:paraId="0FC8EF75" w14:textId="77777777" w:rsidR="00526781" w:rsidRPr="006843FF" w:rsidRDefault="00526781" w:rsidP="00AF6ECC">
      <w:pPr>
        <w:spacing w:line="240" w:lineRule="auto"/>
        <w:jc w:val="center"/>
        <w:rPr>
          <w:rFonts w:asciiTheme="minorHAnsi" w:hAnsiTheme="minorHAnsi" w:cstheme="minorHAnsi"/>
          <w:b/>
          <w:bCs/>
          <w:sz w:val="22"/>
          <w:szCs w:val="22"/>
        </w:rPr>
      </w:pPr>
    </w:p>
    <w:p w14:paraId="6C34DC1A" w14:textId="77777777" w:rsidR="009A21A8" w:rsidRDefault="009A21A8" w:rsidP="00AF6ECC">
      <w:pPr>
        <w:spacing w:line="240" w:lineRule="auto"/>
        <w:jc w:val="center"/>
        <w:rPr>
          <w:rFonts w:asciiTheme="minorHAnsi" w:hAnsiTheme="minorHAnsi" w:cstheme="minorHAnsi"/>
          <w:b/>
          <w:bCs/>
          <w:sz w:val="22"/>
          <w:szCs w:val="22"/>
        </w:rPr>
      </w:pPr>
    </w:p>
    <w:p w14:paraId="2A97260F" w14:textId="139F9571" w:rsidR="00AF6ECC" w:rsidRPr="006843FF" w:rsidRDefault="00AF6ECC" w:rsidP="00AF6ECC">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Tabla de revisión y ajuste de los puntos base para el cálculo de la Contraprestación</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93"/>
        <w:gridCol w:w="1416"/>
        <w:gridCol w:w="1275"/>
        <w:gridCol w:w="1271"/>
        <w:gridCol w:w="2393"/>
      </w:tblGrid>
      <w:tr w:rsidR="00AF6ECC" w:rsidRPr="006843FF" w14:paraId="0B11A445" w14:textId="77777777" w:rsidTr="00682B6D">
        <w:trPr>
          <w:trHeight w:val="522"/>
          <w:tblHeader/>
          <w:jc w:val="center"/>
        </w:trPr>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0D7B0547"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CALIFICACIÓN SOMBRA DEL CRÉDITO</w:t>
            </w:r>
            <w:r w:rsidRPr="006843FF">
              <w:rPr>
                <w:rStyle w:val="Refdenotaalpie"/>
                <w:rFonts w:asciiTheme="minorHAnsi" w:hAnsiTheme="minorHAnsi" w:cstheme="minorHAnsi"/>
                <w:b/>
                <w:bCs/>
                <w:sz w:val="22"/>
                <w:szCs w:val="22"/>
              </w:rPr>
              <w:footnoteReference w:id="3"/>
            </w:r>
          </w:p>
        </w:tc>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43861CF4"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 xml:space="preserve">Puntos </w:t>
            </w:r>
            <w:r>
              <w:rPr>
                <w:rFonts w:asciiTheme="minorHAnsi" w:hAnsiTheme="minorHAnsi" w:cstheme="minorHAnsi"/>
                <w:b/>
                <w:bCs/>
                <w:sz w:val="22"/>
                <w:szCs w:val="22"/>
              </w:rPr>
              <w:t>Base</w:t>
            </w:r>
            <w:r w:rsidRPr="006843FF">
              <w:rPr>
                <w:rStyle w:val="Refdenotaalpie"/>
                <w:rFonts w:asciiTheme="minorHAnsi" w:hAnsiTheme="minorHAnsi" w:cstheme="minorHAnsi"/>
                <w:b/>
                <w:bCs/>
                <w:sz w:val="22"/>
                <w:szCs w:val="22"/>
              </w:rPr>
              <w:footnoteReference w:id="4"/>
            </w:r>
          </w:p>
        </w:tc>
      </w:tr>
      <w:tr w:rsidR="00AF6ECC" w:rsidRPr="006843FF" w14:paraId="01DC2E3E" w14:textId="77777777" w:rsidTr="00682B6D">
        <w:trPr>
          <w:trHeight w:val="70"/>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ED7A68F"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S&amp;P</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21D9E54"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Fitch</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54FE94F"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Moody’s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B67204"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HR Ratings</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340AFBD"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Verum</w:t>
            </w: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33A2A68D" w14:textId="77777777" w:rsidR="00AF6ECC" w:rsidRPr="006843FF" w:rsidRDefault="00AF6ECC" w:rsidP="00682B6D">
            <w:pPr>
              <w:spacing w:line="240" w:lineRule="auto"/>
              <w:rPr>
                <w:rFonts w:asciiTheme="minorHAnsi" w:hAnsiTheme="minorHAnsi" w:cstheme="minorHAnsi"/>
                <w:b/>
                <w:bCs/>
                <w:sz w:val="22"/>
                <w:szCs w:val="22"/>
                <w:lang w:val="es-MX"/>
              </w:rPr>
            </w:pPr>
          </w:p>
        </w:tc>
      </w:tr>
      <w:tr w:rsidR="00AF6ECC" w:rsidRPr="006843FF" w14:paraId="0E848F88"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6E6AAC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A32A59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407175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16AEF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AAA</w:t>
            </w:r>
          </w:p>
        </w:tc>
        <w:tc>
          <w:tcPr>
            <w:tcW w:w="1271" w:type="dxa"/>
            <w:tcBorders>
              <w:top w:val="single" w:sz="4" w:space="0" w:color="auto"/>
              <w:left w:val="single" w:sz="4" w:space="0" w:color="auto"/>
              <w:bottom w:val="single" w:sz="4" w:space="0" w:color="auto"/>
              <w:right w:val="single" w:sz="4" w:space="0" w:color="auto"/>
            </w:tcBorders>
            <w:hideMark/>
          </w:tcPr>
          <w:p w14:paraId="1442C4B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082A1C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12074EE9"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E83182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641FEB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CD5599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DAEF0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271" w:type="dxa"/>
            <w:tcBorders>
              <w:top w:val="single" w:sz="4" w:space="0" w:color="auto"/>
              <w:left w:val="single" w:sz="4" w:space="0" w:color="auto"/>
              <w:bottom w:val="single" w:sz="4" w:space="0" w:color="auto"/>
              <w:right w:val="single" w:sz="4" w:space="0" w:color="auto"/>
            </w:tcBorders>
            <w:hideMark/>
          </w:tcPr>
          <w:p w14:paraId="6D103B4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2BEEFE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3D1F7256"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D6B052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DB09D9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B9A016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34563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271" w:type="dxa"/>
            <w:tcBorders>
              <w:top w:val="single" w:sz="4" w:space="0" w:color="auto"/>
              <w:left w:val="single" w:sz="4" w:space="0" w:color="auto"/>
              <w:bottom w:val="single" w:sz="4" w:space="0" w:color="auto"/>
              <w:right w:val="single" w:sz="4" w:space="0" w:color="auto"/>
            </w:tcBorders>
            <w:hideMark/>
          </w:tcPr>
          <w:p w14:paraId="28DD0DC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43660D7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0ED631D1"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A721A7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66F380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C53FE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3084A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1271" w:type="dxa"/>
            <w:tcBorders>
              <w:top w:val="single" w:sz="4" w:space="0" w:color="auto"/>
              <w:left w:val="single" w:sz="4" w:space="0" w:color="auto"/>
              <w:bottom w:val="single" w:sz="4" w:space="0" w:color="auto"/>
              <w:right w:val="single" w:sz="4" w:space="0" w:color="auto"/>
            </w:tcBorders>
            <w:hideMark/>
          </w:tcPr>
          <w:p w14:paraId="6D5F27C8"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6860762"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601C0FE6"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A41D21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A260B9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098233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A8EC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271" w:type="dxa"/>
            <w:tcBorders>
              <w:top w:val="single" w:sz="4" w:space="0" w:color="auto"/>
              <w:left w:val="single" w:sz="4" w:space="0" w:color="auto"/>
              <w:bottom w:val="single" w:sz="4" w:space="0" w:color="auto"/>
              <w:right w:val="single" w:sz="4" w:space="0" w:color="auto"/>
            </w:tcBorders>
            <w:hideMark/>
          </w:tcPr>
          <w:p w14:paraId="49952850"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A386232"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79015B43"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F9ACE9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0F416C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F1A924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6B952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271" w:type="dxa"/>
            <w:tcBorders>
              <w:top w:val="single" w:sz="4" w:space="0" w:color="auto"/>
              <w:left w:val="single" w:sz="4" w:space="0" w:color="auto"/>
              <w:bottom w:val="single" w:sz="4" w:space="0" w:color="auto"/>
              <w:right w:val="single" w:sz="4" w:space="0" w:color="auto"/>
            </w:tcBorders>
            <w:hideMark/>
          </w:tcPr>
          <w:p w14:paraId="7F45B256"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FD77DC9"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21A92D09"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41711F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419686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DC632C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97829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1271" w:type="dxa"/>
            <w:tcBorders>
              <w:top w:val="single" w:sz="4" w:space="0" w:color="auto"/>
              <w:left w:val="single" w:sz="4" w:space="0" w:color="auto"/>
              <w:bottom w:val="single" w:sz="4" w:space="0" w:color="auto"/>
              <w:right w:val="single" w:sz="4" w:space="0" w:color="auto"/>
            </w:tcBorders>
            <w:hideMark/>
          </w:tcPr>
          <w:p w14:paraId="6A7ABE50"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A-/M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1E3F7E1"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453D24C5"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23171E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DEAE41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73DED7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CD0D8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271" w:type="dxa"/>
            <w:tcBorders>
              <w:top w:val="single" w:sz="4" w:space="0" w:color="auto"/>
              <w:left w:val="single" w:sz="4" w:space="0" w:color="auto"/>
              <w:bottom w:val="single" w:sz="4" w:space="0" w:color="auto"/>
              <w:right w:val="single" w:sz="4" w:space="0" w:color="auto"/>
            </w:tcBorders>
            <w:hideMark/>
          </w:tcPr>
          <w:p w14:paraId="4E8DFA6B"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7CCC20C"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0C1FC30D"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5B86E4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F6CB74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8BED0F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636ED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271" w:type="dxa"/>
            <w:tcBorders>
              <w:top w:val="single" w:sz="4" w:space="0" w:color="auto"/>
              <w:left w:val="single" w:sz="4" w:space="0" w:color="auto"/>
              <w:bottom w:val="single" w:sz="4" w:space="0" w:color="auto"/>
              <w:right w:val="single" w:sz="4" w:space="0" w:color="auto"/>
            </w:tcBorders>
            <w:hideMark/>
          </w:tcPr>
          <w:p w14:paraId="70A02982"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4B6566A6"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36A514AC"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98A8DE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372E25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962BE8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3462D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1271" w:type="dxa"/>
            <w:tcBorders>
              <w:top w:val="single" w:sz="4" w:space="0" w:color="auto"/>
              <w:left w:val="single" w:sz="4" w:space="0" w:color="auto"/>
              <w:bottom w:val="single" w:sz="4" w:space="0" w:color="auto"/>
              <w:right w:val="single" w:sz="4" w:space="0" w:color="auto"/>
            </w:tcBorders>
            <w:hideMark/>
          </w:tcPr>
          <w:p w14:paraId="20BFA59F"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341995A"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75864C2A"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616D17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46DB66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FFBDCB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5055D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271" w:type="dxa"/>
            <w:tcBorders>
              <w:top w:val="single" w:sz="4" w:space="0" w:color="auto"/>
              <w:left w:val="single" w:sz="4" w:space="0" w:color="auto"/>
              <w:bottom w:val="single" w:sz="4" w:space="0" w:color="auto"/>
              <w:right w:val="single" w:sz="4" w:space="0" w:color="auto"/>
            </w:tcBorders>
            <w:hideMark/>
          </w:tcPr>
          <w:p w14:paraId="10FAEE42"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5930DD5"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4D69BD96"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C24D26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BA8B00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175EAF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C4BBD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271" w:type="dxa"/>
            <w:tcBorders>
              <w:top w:val="single" w:sz="4" w:space="0" w:color="auto"/>
              <w:left w:val="single" w:sz="4" w:space="0" w:color="auto"/>
              <w:bottom w:val="single" w:sz="4" w:space="0" w:color="auto"/>
              <w:right w:val="single" w:sz="4" w:space="0" w:color="auto"/>
            </w:tcBorders>
            <w:hideMark/>
          </w:tcPr>
          <w:p w14:paraId="0D67B97F"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F43F70E"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10D57085"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C9AF3B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F85881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0C343C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0B3C0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1271" w:type="dxa"/>
            <w:tcBorders>
              <w:top w:val="single" w:sz="4" w:space="0" w:color="auto"/>
              <w:left w:val="single" w:sz="4" w:space="0" w:color="auto"/>
              <w:bottom w:val="single" w:sz="4" w:space="0" w:color="auto"/>
              <w:right w:val="single" w:sz="4" w:space="0" w:color="auto"/>
            </w:tcBorders>
            <w:hideMark/>
          </w:tcPr>
          <w:p w14:paraId="000B78A5"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3201514"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758BAC92"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74A4DA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892918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E5E44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B1.mx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73316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271" w:type="dxa"/>
            <w:tcBorders>
              <w:top w:val="single" w:sz="4" w:space="0" w:color="auto"/>
              <w:left w:val="single" w:sz="4" w:space="0" w:color="auto"/>
              <w:bottom w:val="single" w:sz="4" w:space="0" w:color="auto"/>
              <w:right w:val="single" w:sz="4" w:space="0" w:color="auto"/>
            </w:tcBorders>
            <w:hideMark/>
          </w:tcPr>
          <w:p w14:paraId="153B7D23"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63C6216"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13C90E4B"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A68614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1691E4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8BBBE8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B2.mx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88D2A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271" w:type="dxa"/>
            <w:tcBorders>
              <w:top w:val="single" w:sz="4" w:space="0" w:color="auto"/>
              <w:left w:val="single" w:sz="4" w:space="0" w:color="auto"/>
              <w:bottom w:val="single" w:sz="4" w:space="0" w:color="auto"/>
              <w:right w:val="single" w:sz="4" w:space="0" w:color="auto"/>
            </w:tcBorders>
            <w:hideMark/>
          </w:tcPr>
          <w:p w14:paraId="1D061E72"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ECAC3E0"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4DF27935"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336034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A287ED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96622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B3.mx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407BE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1271" w:type="dxa"/>
            <w:tcBorders>
              <w:top w:val="single" w:sz="4" w:space="0" w:color="auto"/>
              <w:left w:val="single" w:sz="4" w:space="0" w:color="auto"/>
              <w:bottom w:val="single" w:sz="4" w:space="0" w:color="auto"/>
              <w:right w:val="single" w:sz="4" w:space="0" w:color="auto"/>
            </w:tcBorders>
            <w:hideMark/>
          </w:tcPr>
          <w:p w14:paraId="76DD87C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BAE049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518388A8"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A20BF1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550CC1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CCC(mex)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7B1B72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Caa.mx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CBA96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271" w:type="dxa"/>
            <w:tcBorders>
              <w:top w:val="single" w:sz="4" w:space="0" w:color="auto"/>
              <w:left w:val="single" w:sz="4" w:space="0" w:color="auto"/>
              <w:bottom w:val="single" w:sz="4" w:space="0" w:color="auto"/>
              <w:right w:val="single" w:sz="4" w:space="0" w:color="auto"/>
            </w:tcBorders>
          </w:tcPr>
          <w:p w14:paraId="6B2FDA7E" w14:textId="77777777" w:rsidR="00AF6ECC" w:rsidRPr="006843FF" w:rsidRDefault="00AF6ECC" w:rsidP="00682B6D">
            <w:pPr>
              <w:spacing w:line="240" w:lineRule="auto"/>
              <w:jc w:val="center"/>
              <w:rPr>
                <w:rFonts w:asciiTheme="minorHAnsi" w:hAnsiTheme="minorHAnsi" w:cstheme="minorHAnsi"/>
                <w:sz w:val="22"/>
                <w:szCs w:val="22"/>
                <w:lang w:val="es-ES_tradnl"/>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25DE0571"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2C23CCCC"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E1E6F3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309E920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E554E6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AE2EF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271" w:type="dxa"/>
            <w:tcBorders>
              <w:top w:val="single" w:sz="4" w:space="0" w:color="auto"/>
              <w:left w:val="single" w:sz="4" w:space="0" w:color="auto"/>
              <w:bottom w:val="single" w:sz="4" w:space="0" w:color="auto"/>
              <w:right w:val="single" w:sz="4" w:space="0" w:color="auto"/>
            </w:tcBorders>
          </w:tcPr>
          <w:p w14:paraId="6A4CC099" w14:textId="77777777" w:rsidR="00AF6ECC" w:rsidRPr="006843FF" w:rsidRDefault="00AF6ECC" w:rsidP="00682B6D">
            <w:pPr>
              <w:spacing w:line="240" w:lineRule="auto"/>
              <w:jc w:val="center"/>
              <w:rPr>
                <w:rFonts w:asciiTheme="minorHAnsi" w:hAnsiTheme="minorHAnsi" w:cstheme="minorHAnsi"/>
                <w:sz w:val="22"/>
                <w:szCs w:val="22"/>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1D85ABF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42EA1CB0"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474775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331223A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C(mex)</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9EEDDF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C52E5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1271" w:type="dxa"/>
            <w:tcBorders>
              <w:top w:val="single" w:sz="4" w:space="0" w:color="auto"/>
              <w:left w:val="single" w:sz="4" w:space="0" w:color="auto"/>
              <w:bottom w:val="single" w:sz="4" w:space="0" w:color="auto"/>
              <w:right w:val="single" w:sz="4" w:space="0" w:color="auto"/>
            </w:tcBorders>
            <w:hideMark/>
          </w:tcPr>
          <w:p w14:paraId="168F4D2C"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C/M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12903FBE"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6CB2D55F"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A5B5C6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mxD</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DF5052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D(mex)</w:t>
            </w:r>
          </w:p>
        </w:tc>
        <w:tc>
          <w:tcPr>
            <w:tcW w:w="1416" w:type="dxa"/>
            <w:tcBorders>
              <w:top w:val="single" w:sz="4" w:space="0" w:color="auto"/>
              <w:left w:val="single" w:sz="4" w:space="0" w:color="auto"/>
              <w:bottom w:val="single" w:sz="4" w:space="0" w:color="auto"/>
              <w:right w:val="single" w:sz="4" w:space="0" w:color="auto"/>
            </w:tcBorders>
            <w:vAlign w:val="center"/>
          </w:tcPr>
          <w:p w14:paraId="0BD2ACCA" w14:textId="77777777" w:rsidR="00AF6ECC" w:rsidRPr="006843FF" w:rsidRDefault="00AF6ECC" w:rsidP="00682B6D">
            <w:pPr>
              <w:spacing w:line="240" w:lineRule="auto"/>
              <w:jc w:val="center"/>
              <w:rPr>
                <w:rFonts w:asciiTheme="minorHAns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C3B872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D</w:t>
            </w:r>
          </w:p>
        </w:tc>
        <w:tc>
          <w:tcPr>
            <w:tcW w:w="1271" w:type="dxa"/>
            <w:tcBorders>
              <w:top w:val="single" w:sz="4" w:space="0" w:color="auto"/>
              <w:left w:val="single" w:sz="4" w:space="0" w:color="auto"/>
              <w:bottom w:val="single" w:sz="4" w:space="0" w:color="auto"/>
              <w:right w:val="single" w:sz="4" w:space="0" w:color="auto"/>
            </w:tcBorders>
            <w:hideMark/>
          </w:tcPr>
          <w:p w14:paraId="02BC4E0B"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D/M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D0AA6EF"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54A9E6B1" w14:textId="77777777" w:rsidTr="00682B6D">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3B09756" w14:textId="77777777" w:rsidR="00AF6ECC" w:rsidRPr="006843FF" w:rsidRDefault="00AF6ECC" w:rsidP="00682B6D">
            <w:pPr>
              <w:spacing w:line="240" w:lineRule="auto"/>
              <w:jc w:val="center"/>
              <w:rPr>
                <w:rFonts w:asciiTheme="minorHAnsi" w:hAnsiTheme="minorHAnsi" w:cstheme="minorHAnsi"/>
                <w:sz w:val="22"/>
                <w:szCs w:val="22"/>
              </w:rP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48AA964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E(mex)</w:t>
            </w:r>
          </w:p>
        </w:tc>
        <w:tc>
          <w:tcPr>
            <w:tcW w:w="1416" w:type="dxa"/>
            <w:tcBorders>
              <w:top w:val="single" w:sz="4" w:space="0" w:color="auto"/>
              <w:left w:val="single" w:sz="4" w:space="0" w:color="auto"/>
              <w:bottom w:val="single" w:sz="4" w:space="0" w:color="auto"/>
              <w:right w:val="single" w:sz="4" w:space="0" w:color="auto"/>
            </w:tcBorders>
            <w:vAlign w:val="center"/>
          </w:tcPr>
          <w:p w14:paraId="53543267" w14:textId="77777777" w:rsidR="00AF6ECC" w:rsidRPr="006843FF" w:rsidRDefault="00AF6ECC" w:rsidP="00682B6D">
            <w:pPr>
              <w:spacing w:line="240" w:lineRule="auto"/>
              <w:jc w:val="center"/>
              <w:rPr>
                <w:rFonts w:asciiTheme="minorHAns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01E88FC" w14:textId="77777777" w:rsidR="00AF6ECC" w:rsidRPr="006843FF" w:rsidRDefault="00AF6ECC" w:rsidP="00682B6D">
            <w:pPr>
              <w:spacing w:line="240" w:lineRule="auto"/>
              <w:jc w:val="center"/>
              <w:rPr>
                <w:rFonts w:asciiTheme="minorHAnsi" w:hAnsiTheme="minorHAnsi" w:cstheme="minorHAnsi"/>
                <w:sz w:val="22"/>
                <w:szCs w:val="22"/>
              </w:rPr>
            </w:pPr>
          </w:p>
        </w:tc>
        <w:tc>
          <w:tcPr>
            <w:tcW w:w="1271" w:type="dxa"/>
            <w:tcBorders>
              <w:top w:val="single" w:sz="4" w:space="0" w:color="auto"/>
              <w:left w:val="single" w:sz="4" w:space="0" w:color="auto"/>
              <w:bottom w:val="single" w:sz="4" w:space="0" w:color="auto"/>
              <w:right w:val="single" w:sz="4" w:space="0" w:color="auto"/>
            </w:tcBorders>
            <w:hideMark/>
          </w:tcPr>
          <w:p w14:paraId="0E7A1726"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E/M</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CD6B9FC" w14:textId="77777777" w:rsidR="00AF6ECC" w:rsidRPr="006843FF" w:rsidRDefault="00AF6ECC" w:rsidP="00682B6D">
            <w:pPr>
              <w:spacing w:line="240" w:lineRule="auto"/>
              <w:jc w:val="center"/>
              <w:rPr>
                <w:rFonts w:asciiTheme="minorHAnsi" w:hAnsiTheme="minorHAnsi" w:cstheme="minorHAnsi"/>
                <w:sz w:val="22"/>
                <w:szCs w:val="22"/>
                <w:lang w:val="es-MX"/>
              </w:rPr>
            </w:pPr>
            <w:r w:rsidRPr="006843FF">
              <w:rPr>
                <w:rFonts w:asciiTheme="minorHAnsi" w:hAnsiTheme="minorHAnsi" w:cstheme="minorHAnsi"/>
                <w:sz w:val="22"/>
                <w:szCs w:val="22"/>
              </w:rPr>
              <w:t>[•]</w:t>
            </w:r>
            <w:r>
              <w:rPr>
                <w:rFonts w:asciiTheme="minorHAnsi" w:hAnsiTheme="minorHAnsi" w:cstheme="minorHAnsi"/>
                <w:sz w:val="22"/>
                <w:szCs w:val="22"/>
              </w:rPr>
              <w:t xml:space="preserve"> </w:t>
            </w:r>
            <w:r w:rsidRPr="006843FF">
              <w:rPr>
                <w:rFonts w:asciiTheme="minorHAnsi" w:hAnsiTheme="minorHAnsi" w:cstheme="minorHAnsi"/>
                <w:sz w:val="22"/>
                <w:szCs w:val="22"/>
              </w:rPr>
              <w:t>P</w:t>
            </w:r>
            <w:r>
              <w:rPr>
                <w:rFonts w:asciiTheme="minorHAnsi" w:hAnsiTheme="minorHAnsi" w:cstheme="minorHAnsi"/>
                <w:sz w:val="22"/>
                <w:szCs w:val="22"/>
              </w:rPr>
              <w:t>B</w:t>
            </w:r>
          </w:p>
        </w:tc>
      </w:tr>
      <w:tr w:rsidR="00AF6ECC" w:rsidRPr="006843FF" w14:paraId="0FCA6A45" w14:textId="77777777" w:rsidTr="00682B6D">
        <w:trPr>
          <w:jc w:val="center"/>
        </w:trPr>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1503EEB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No calificado</w:t>
            </w:r>
          </w:p>
        </w:tc>
        <w:tc>
          <w:tcPr>
            <w:tcW w:w="2393" w:type="dxa"/>
            <w:tcBorders>
              <w:top w:val="single" w:sz="4" w:space="0" w:color="auto"/>
              <w:left w:val="single" w:sz="4" w:space="0" w:color="auto"/>
              <w:bottom w:val="single" w:sz="4" w:space="0" w:color="auto"/>
              <w:right w:val="single" w:sz="4" w:space="0" w:color="auto"/>
            </w:tcBorders>
            <w:hideMark/>
          </w:tcPr>
          <w:p w14:paraId="52EAABB7" w14:textId="77777777" w:rsidR="00AF6ECC" w:rsidRPr="006843FF" w:rsidRDefault="00AF6ECC" w:rsidP="00682B6D">
            <w:pPr>
              <w:spacing w:line="240" w:lineRule="auto"/>
              <w:jc w:val="center"/>
              <w:rPr>
                <w:rFonts w:asciiTheme="minorHAnsi" w:hAnsiTheme="minorHAnsi" w:cstheme="minorHAnsi"/>
                <w:sz w:val="22"/>
                <w:szCs w:val="22"/>
                <w:lang w:val="es-ES_tradnl"/>
              </w:rPr>
            </w:pPr>
            <w:r w:rsidRPr="006843FF">
              <w:rPr>
                <w:rFonts w:asciiTheme="minorHAnsi" w:hAnsiTheme="minorHAnsi" w:cstheme="minorHAnsi"/>
                <w:sz w:val="22"/>
                <w:szCs w:val="22"/>
              </w:rPr>
              <w:t>[•] P</w:t>
            </w:r>
            <w:r>
              <w:rPr>
                <w:rFonts w:asciiTheme="minorHAnsi" w:hAnsiTheme="minorHAnsi" w:cstheme="minorHAnsi"/>
                <w:sz w:val="22"/>
                <w:szCs w:val="22"/>
              </w:rPr>
              <w:t>B</w:t>
            </w:r>
          </w:p>
        </w:tc>
      </w:tr>
    </w:tbl>
    <w:p w14:paraId="635B83EC" w14:textId="77777777" w:rsidR="00AF6ECC" w:rsidRPr="006843FF" w:rsidRDefault="00AF6ECC" w:rsidP="00AF6ECC">
      <w:pPr>
        <w:spacing w:line="240" w:lineRule="auto"/>
        <w:jc w:val="center"/>
        <w:rPr>
          <w:rFonts w:asciiTheme="minorHAnsi" w:hAnsiTheme="minorHAnsi" w:cstheme="minorHAnsi"/>
          <w:b/>
          <w:bCs/>
          <w:sz w:val="22"/>
          <w:szCs w:val="22"/>
          <w:lang w:val="es-MX"/>
        </w:rPr>
      </w:pPr>
    </w:p>
    <w:p w14:paraId="5DE0FDE4" w14:textId="77777777" w:rsidR="007C093B" w:rsidRDefault="007C093B">
      <w:pPr>
        <w:spacing w:after="160" w:line="259" w:lineRule="auto"/>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48E0F10A" w14:textId="132DC4BB" w:rsidR="00AF6ECC" w:rsidRPr="006843FF" w:rsidRDefault="00AF6ECC" w:rsidP="00AF6ECC">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lastRenderedPageBreak/>
        <w:t>Tabla de revisión y ajuste de Margen Aplicable:</w:t>
      </w:r>
    </w:p>
    <w:p w14:paraId="788BF395" w14:textId="77777777" w:rsidR="00AF6ECC" w:rsidRPr="006843FF" w:rsidRDefault="00AF6ECC" w:rsidP="00AF6ECC">
      <w:pPr>
        <w:spacing w:line="240" w:lineRule="auto"/>
        <w:rPr>
          <w:rFonts w:asciiTheme="minorHAnsi" w:hAnsiTheme="minorHAnsi" w:cstheme="minorHAnsi"/>
          <w:sz w:val="22"/>
          <w:szCs w:val="22"/>
        </w:rPr>
      </w:pPr>
    </w:p>
    <w:p w14:paraId="2C0C8B00"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A continuación, se detalla la Tabla de Revisión y Ajuste de Margen Aplicable a los diferentes niveles de riesgo en función de la Calificación Sombra del Crédito, para determinar la Tasa de Interés aplicable en caso de ejercicio de la Garantía:</w:t>
      </w:r>
    </w:p>
    <w:p w14:paraId="783D39D1" w14:textId="77777777" w:rsidR="00AF6ECC" w:rsidRPr="006843FF" w:rsidRDefault="00AF6ECC" w:rsidP="00AF6ECC">
      <w:pPr>
        <w:spacing w:line="240"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980"/>
        <w:gridCol w:w="1235"/>
        <w:gridCol w:w="1040"/>
        <w:gridCol w:w="1025"/>
        <w:gridCol w:w="982"/>
        <w:gridCol w:w="2343"/>
      </w:tblGrid>
      <w:tr w:rsidR="00AF6ECC" w:rsidRPr="006843FF" w14:paraId="1F26E4C9" w14:textId="77777777" w:rsidTr="00682B6D">
        <w:trPr>
          <w:cantSplit/>
          <w:trHeight w:val="652"/>
          <w:tblHeader/>
          <w:jc w:val="center"/>
        </w:trPr>
        <w:tc>
          <w:tcPr>
            <w:tcW w:w="889" w:type="dxa"/>
            <w:vMerge w:val="restart"/>
            <w:tcBorders>
              <w:top w:val="single" w:sz="4" w:space="0" w:color="auto"/>
              <w:left w:val="single" w:sz="4" w:space="0" w:color="auto"/>
              <w:bottom w:val="single" w:sz="4" w:space="0" w:color="auto"/>
              <w:right w:val="single" w:sz="4" w:space="0" w:color="auto"/>
            </w:tcBorders>
            <w:vAlign w:val="center"/>
          </w:tcPr>
          <w:p w14:paraId="5FDFF751" w14:textId="77777777" w:rsidR="00AF6ECC" w:rsidRPr="006843FF" w:rsidRDefault="00AF6ECC" w:rsidP="00682B6D">
            <w:pPr>
              <w:spacing w:line="240" w:lineRule="auto"/>
              <w:jc w:val="center"/>
              <w:rPr>
                <w:rFonts w:asciiTheme="minorHAnsi" w:hAnsiTheme="minorHAnsi" w:cstheme="minorHAnsi"/>
                <w:b/>
                <w:sz w:val="22"/>
                <w:szCs w:val="22"/>
              </w:rPr>
            </w:pPr>
          </w:p>
          <w:p w14:paraId="2E1FC9F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b/>
                <w:sz w:val="22"/>
                <w:szCs w:val="22"/>
              </w:rPr>
              <w:t>Nivel de Riesgo</w:t>
            </w:r>
          </w:p>
        </w:tc>
        <w:tc>
          <w:tcPr>
            <w:tcW w:w="5262" w:type="dxa"/>
            <w:gridSpan w:val="5"/>
            <w:tcBorders>
              <w:top w:val="single" w:sz="4" w:space="0" w:color="auto"/>
              <w:left w:val="single" w:sz="4" w:space="0" w:color="auto"/>
              <w:bottom w:val="single" w:sz="4" w:space="0" w:color="auto"/>
              <w:right w:val="single" w:sz="4" w:space="0" w:color="auto"/>
            </w:tcBorders>
            <w:vAlign w:val="center"/>
            <w:hideMark/>
          </w:tcPr>
          <w:p w14:paraId="14933BDB" w14:textId="77777777" w:rsidR="00AF6ECC" w:rsidRPr="006843FF" w:rsidRDefault="00AF6ECC" w:rsidP="00682B6D">
            <w:pPr>
              <w:spacing w:line="240" w:lineRule="auto"/>
              <w:jc w:val="center"/>
              <w:rPr>
                <w:rFonts w:asciiTheme="minorHAnsi" w:hAnsiTheme="minorHAnsi" w:cstheme="minorHAnsi"/>
                <w:b/>
                <w:bCs/>
                <w:sz w:val="22"/>
                <w:szCs w:val="22"/>
              </w:rPr>
            </w:pPr>
            <w:r w:rsidRPr="006843FF">
              <w:rPr>
                <w:rFonts w:asciiTheme="minorHAnsi" w:hAnsiTheme="minorHAnsi" w:cstheme="minorHAnsi"/>
                <w:b/>
                <w:bCs/>
                <w:sz w:val="22"/>
                <w:szCs w:val="22"/>
              </w:rPr>
              <w:t>Calificaciones Sombra</w:t>
            </w:r>
            <w:r w:rsidRPr="006843FF">
              <w:rPr>
                <w:rStyle w:val="Refdenotaalpie"/>
                <w:rFonts w:asciiTheme="minorHAnsi" w:hAnsiTheme="minorHAnsi" w:cstheme="minorHAnsi"/>
                <w:b/>
                <w:bCs/>
                <w:sz w:val="22"/>
                <w:szCs w:val="22"/>
              </w:rPr>
              <w:footnoteReference w:id="5"/>
            </w:r>
          </w:p>
        </w:tc>
        <w:tc>
          <w:tcPr>
            <w:tcW w:w="2343" w:type="dxa"/>
            <w:tcBorders>
              <w:top w:val="single" w:sz="4" w:space="0" w:color="auto"/>
              <w:left w:val="single" w:sz="4" w:space="0" w:color="auto"/>
              <w:bottom w:val="single" w:sz="4" w:space="0" w:color="auto"/>
              <w:right w:val="single" w:sz="4" w:space="0" w:color="auto"/>
            </w:tcBorders>
            <w:vAlign w:val="center"/>
            <w:hideMark/>
          </w:tcPr>
          <w:p w14:paraId="6F6C0C75" w14:textId="2C14558C"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 xml:space="preserve">Al menos </w:t>
            </w:r>
            <w:r w:rsidR="004546A4">
              <w:rPr>
                <w:rFonts w:asciiTheme="minorHAnsi" w:hAnsiTheme="minorHAnsi" w:cstheme="minorHAnsi"/>
                <w:b/>
                <w:sz w:val="22"/>
                <w:szCs w:val="22"/>
              </w:rPr>
              <w:t>2</w:t>
            </w:r>
            <w:r w:rsidRPr="006843FF">
              <w:rPr>
                <w:rFonts w:asciiTheme="minorHAnsi" w:hAnsiTheme="minorHAnsi" w:cstheme="minorHAnsi"/>
                <w:b/>
                <w:sz w:val="22"/>
                <w:szCs w:val="22"/>
              </w:rPr>
              <w:t xml:space="preserve"> Calificaci</w:t>
            </w:r>
            <w:r>
              <w:rPr>
                <w:rFonts w:asciiTheme="minorHAnsi" w:hAnsiTheme="minorHAnsi" w:cstheme="minorHAnsi"/>
                <w:b/>
                <w:sz w:val="22"/>
                <w:szCs w:val="22"/>
              </w:rPr>
              <w:t>ó</w:t>
            </w:r>
            <w:r w:rsidRPr="006843FF">
              <w:rPr>
                <w:rFonts w:asciiTheme="minorHAnsi" w:hAnsiTheme="minorHAnsi" w:cstheme="minorHAnsi"/>
                <w:b/>
                <w:sz w:val="22"/>
                <w:szCs w:val="22"/>
              </w:rPr>
              <w:t>n Sombra</w:t>
            </w:r>
            <w:r w:rsidR="004546A4">
              <w:rPr>
                <w:rFonts w:asciiTheme="minorHAnsi" w:hAnsiTheme="minorHAnsi" w:cstheme="minorHAnsi"/>
                <w:b/>
                <w:sz w:val="22"/>
                <w:szCs w:val="22"/>
              </w:rPr>
              <w:t xml:space="preserve"> o al menos 2 calificaciones quirografarias del Estado</w:t>
            </w:r>
          </w:p>
        </w:tc>
      </w:tr>
      <w:tr w:rsidR="00AF6ECC" w:rsidRPr="006843FF" w14:paraId="6AF2E17C" w14:textId="77777777" w:rsidTr="00682B6D">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3A54C" w14:textId="77777777" w:rsidR="00AF6ECC" w:rsidRPr="006843FF" w:rsidRDefault="00AF6ECC" w:rsidP="00682B6D">
            <w:pPr>
              <w:spacing w:line="240" w:lineRule="auto"/>
              <w:rPr>
                <w:rFonts w:asciiTheme="minorHAnsi" w:hAnsiTheme="minorHAnsi" w:cstheme="minorHAnsi"/>
                <w:sz w:val="22"/>
                <w:szCs w:val="22"/>
                <w:lang w:val="es-MX"/>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1C8929E1"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S&amp;P</w:t>
            </w:r>
          </w:p>
        </w:tc>
        <w:tc>
          <w:tcPr>
            <w:tcW w:w="1235" w:type="dxa"/>
            <w:tcBorders>
              <w:top w:val="single" w:sz="4" w:space="0" w:color="auto"/>
              <w:left w:val="single" w:sz="4" w:space="0" w:color="auto"/>
              <w:bottom w:val="single" w:sz="4" w:space="0" w:color="auto"/>
              <w:right w:val="single" w:sz="4" w:space="0" w:color="auto"/>
            </w:tcBorders>
            <w:vAlign w:val="center"/>
            <w:hideMark/>
          </w:tcPr>
          <w:p w14:paraId="55186B56"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Fitch</w:t>
            </w:r>
          </w:p>
          <w:p w14:paraId="24DAB0D7"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Ratings</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4BEDF79"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Moody’s</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9902E13"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HR Ratings</w:t>
            </w:r>
          </w:p>
        </w:tc>
        <w:tc>
          <w:tcPr>
            <w:tcW w:w="982" w:type="dxa"/>
            <w:tcBorders>
              <w:top w:val="single" w:sz="4" w:space="0" w:color="auto"/>
              <w:left w:val="single" w:sz="4" w:space="0" w:color="auto"/>
              <w:bottom w:val="single" w:sz="4" w:space="0" w:color="auto"/>
              <w:right w:val="single" w:sz="4" w:space="0" w:color="auto"/>
            </w:tcBorders>
            <w:vAlign w:val="center"/>
            <w:hideMark/>
          </w:tcPr>
          <w:p w14:paraId="0B447854"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Verum</w:t>
            </w:r>
          </w:p>
        </w:tc>
        <w:tc>
          <w:tcPr>
            <w:tcW w:w="2343" w:type="dxa"/>
            <w:tcBorders>
              <w:top w:val="single" w:sz="4" w:space="0" w:color="auto"/>
              <w:left w:val="single" w:sz="4" w:space="0" w:color="auto"/>
              <w:bottom w:val="single" w:sz="4" w:space="0" w:color="auto"/>
              <w:right w:val="single" w:sz="4" w:space="0" w:color="auto"/>
            </w:tcBorders>
            <w:vAlign w:val="center"/>
            <w:hideMark/>
          </w:tcPr>
          <w:p w14:paraId="5CC8F7CB" w14:textId="77777777" w:rsidR="00AF6ECC"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Margen Aplicable</w:t>
            </w:r>
          </w:p>
          <w:p w14:paraId="24D71950" w14:textId="77777777" w:rsidR="00AF6ECC" w:rsidRPr="006843FF" w:rsidRDefault="00AF6ECC" w:rsidP="00682B6D">
            <w:pPr>
              <w:spacing w:line="240" w:lineRule="auto"/>
              <w:jc w:val="center"/>
              <w:rPr>
                <w:rFonts w:asciiTheme="minorHAnsi" w:hAnsiTheme="minorHAnsi" w:cstheme="minorHAnsi"/>
                <w:b/>
                <w:sz w:val="22"/>
                <w:szCs w:val="22"/>
              </w:rPr>
            </w:pPr>
            <w:r>
              <w:rPr>
                <w:rFonts w:asciiTheme="minorHAnsi" w:hAnsiTheme="minorHAnsi" w:cstheme="minorHAnsi"/>
                <w:b/>
                <w:sz w:val="22"/>
                <w:szCs w:val="22"/>
              </w:rPr>
              <w:t>en Puntos Base</w:t>
            </w:r>
          </w:p>
        </w:tc>
      </w:tr>
      <w:tr w:rsidR="00AF6ECC" w:rsidRPr="006843FF" w14:paraId="57B708FB"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02C1409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w:t>
            </w:r>
          </w:p>
        </w:tc>
        <w:tc>
          <w:tcPr>
            <w:tcW w:w="980" w:type="dxa"/>
            <w:tcBorders>
              <w:top w:val="single" w:sz="4" w:space="0" w:color="auto"/>
              <w:left w:val="single" w:sz="4" w:space="0" w:color="auto"/>
              <w:bottom w:val="single" w:sz="4" w:space="0" w:color="auto"/>
              <w:right w:val="single" w:sz="4" w:space="0" w:color="auto"/>
            </w:tcBorders>
            <w:hideMark/>
          </w:tcPr>
          <w:p w14:paraId="4AD6D18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mxAAA</w:t>
            </w:r>
          </w:p>
        </w:tc>
        <w:tc>
          <w:tcPr>
            <w:tcW w:w="1235" w:type="dxa"/>
            <w:tcBorders>
              <w:top w:val="single" w:sz="4" w:space="0" w:color="auto"/>
              <w:left w:val="single" w:sz="4" w:space="0" w:color="auto"/>
              <w:bottom w:val="single" w:sz="4" w:space="0" w:color="auto"/>
              <w:right w:val="single" w:sz="4" w:space="0" w:color="auto"/>
            </w:tcBorders>
            <w:hideMark/>
          </w:tcPr>
          <w:p w14:paraId="2E30A2C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AAA(mex)</w:t>
            </w:r>
          </w:p>
        </w:tc>
        <w:tc>
          <w:tcPr>
            <w:tcW w:w="1040" w:type="dxa"/>
            <w:tcBorders>
              <w:top w:val="single" w:sz="4" w:space="0" w:color="auto"/>
              <w:left w:val="single" w:sz="4" w:space="0" w:color="auto"/>
              <w:bottom w:val="single" w:sz="4" w:space="0" w:color="auto"/>
              <w:right w:val="single" w:sz="4" w:space="0" w:color="auto"/>
            </w:tcBorders>
            <w:hideMark/>
          </w:tcPr>
          <w:p w14:paraId="1AE267E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Aaa.mx</w:t>
            </w:r>
          </w:p>
        </w:tc>
        <w:tc>
          <w:tcPr>
            <w:tcW w:w="1025" w:type="dxa"/>
            <w:tcBorders>
              <w:top w:val="single" w:sz="4" w:space="0" w:color="auto"/>
              <w:left w:val="single" w:sz="4" w:space="0" w:color="auto"/>
              <w:bottom w:val="single" w:sz="4" w:space="0" w:color="auto"/>
              <w:right w:val="single" w:sz="4" w:space="0" w:color="auto"/>
            </w:tcBorders>
            <w:hideMark/>
          </w:tcPr>
          <w:p w14:paraId="7AB8725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AAA</w:t>
            </w:r>
          </w:p>
        </w:tc>
        <w:tc>
          <w:tcPr>
            <w:tcW w:w="982" w:type="dxa"/>
            <w:tcBorders>
              <w:top w:val="single" w:sz="4" w:space="0" w:color="auto"/>
              <w:left w:val="single" w:sz="4" w:space="0" w:color="auto"/>
              <w:bottom w:val="single" w:sz="4" w:space="0" w:color="auto"/>
              <w:right w:val="single" w:sz="4" w:space="0" w:color="auto"/>
            </w:tcBorders>
            <w:hideMark/>
          </w:tcPr>
          <w:p w14:paraId="1108402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AAA/M</w:t>
            </w:r>
          </w:p>
        </w:tc>
        <w:tc>
          <w:tcPr>
            <w:tcW w:w="2343" w:type="dxa"/>
            <w:tcBorders>
              <w:top w:val="single" w:sz="4" w:space="0" w:color="auto"/>
              <w:left w:val="single" w:sz="4" w:space="0" w:color="auto"/>
              <w:bottom w:val="single" w:sz="4" w:space="0" w:color="auto"/>
              <w:right w:val="single" w:sz="4" w:space="0" w:color="auto"/>
            </w:tcBorders>
            <w:hideMark/>
          </w:tcPr>
          <w:p w14:paraId="04915D5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 P</w:t>
            </w:r>
            <w:r>
              <w:rPr>
                <w:rFonts w:asciiTheme="minorHAnsi" w:hAnsiTheme="minorHAnsi" w:cstheme="minorHAnsi"/>
                <w:sz w:val="22"/>
                <w:szCs w:val="22"/>
              </w:rPr>
              <w:t>B</w:t>
            </w:r>
          </w:p>
        </w:tc>
      </w:tr>
      <w:tr w:rsidR="00AF6ECC" w:rsidRPr="006843FF" w14:paraId="09D8D7D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23E0635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2</w:t>
            </w:r>
          </w:p>
        </w:tc>
        <w:tc>
          <w:tcPr>
            <w:tcW w:w="980" w:type="dxa"/>
            <w:tcBorders>
              <w:top w:val="single" w:sz="4" w:space="0" w:color="auto"/>
              <w:left w:val="single" w:sz="4" w:space="0" w:color="auto"/>
              <w:bottom w:val="single" w:sz="4" w:space="0" w:color="auto"/>
              <w:right w:val="single" w:sz="4" w:space="0" w:color="auto"/>
            </w:tcBorders>
            <w:hideMark/>
          </w:tcPr>
          <w:p w14:paraId="7250F35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35" w:type="dxa"/>
            <w:tcBorders>
              <w:top w:val="single" w:sz="4" w:space="0" w:color="auto"/>
              <w:left w:val="single" w:sz="4" w:space="0" w:color="auto"/>
              <w:bottom w:val="single" w:sz="4" w:space="0" w:color="auto"/>
              <w:right w:val="single" w:sz="4" w:space="0" w:color="auto"/>
            </w:tcBorders>
            <w:hideMark/>
          </w:tcPr>
          <w:p w14:paraId="2694943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040" w:type="dxa"/>
            <w:tcBorders>
              <w:top w:val="single" w:sz="4" w:space="0" w:color="auto"/>
              <w:left w:val="single" w:sz="4" w:space="0" w:color="auto"/>
              <w:bottom w:val="single" w:sz="4" w:space="0" w:color="auto"/>
              <w:right w:val="single" w:sz="4" w:space="0" w:color="auto"/>
            </w:tcBorders>
            <w:hideMark/>
          </w:tcPr>
          <w:p w14:paraId="2D07F28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Aa1.mx</w:t>
            </w:r>
          </w:p>
        </w:tc>
        <w:tc>
          <w:tcPr>
            <w:tcW w:w="1025" w:type="dxa"/>
            <w:tcBorders>
              <w:top w:val="single" w:sz="4" w:space="0" w:color="auto"/>
              <w:left w:val="single" w:sz="4" w:space="0" w:color="auto"/>
              <w:bottom w:val="single" w:sz="4" w:space="0" w:color="auto"/>
              <w:right w:val="single" w:sz="4" w:space="0" w:color="auto"/>
            </w:tcBorders>
            <w:hideMark/>
          </w:tcPr>
          <w:p w14:paraId="24F0F7D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982" w:type="dxa"/>
            <w:tcBorders>
              <w:top w:val="single" w:sz="4" w:space="0" w:color="auto"/>
              <w:left w:val="single" w:sz="4" w:space="0" w:color="auto"/>
              <w:bottom w:val="single" w:sz="4" w:space="0" w:color="auto"/>
              <w:right w:val="single" w:sz="4" w:space="0" w:color="auto"/>
            </w:tcBorders>
            <w:hideMark/>
          </w:tcPr>
          <w:p w14:paraId="4B61E80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43" w:type="dxa"/>
            <w:tcBorders>
              <w:top w:val="single" w:sz="4" w:space="0" w:color="auto"/>
              <w:left w:val="single" w:sz="4" w:space="0" w:color="auto"/>
              <w:bottom w:val="single" w:sz="4" w:space="0" w:color="auto"/>
              <w:right w:val="single" w:sz="4" w:space="0" w:color="auto"/>
            </w:tcBorders>
            <w:hideMark/>
          </w:tcPr>
          <w:p w14:paraId="060F08FF"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5EA4E98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5EDBEA6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3</w:t>
            </w:r>
          </w:p>
        </w:tc>
        <w:tc>
          <w:tcPr>
            <w:tcW w:w="980" w:type="dxa"/>
            <w:tcBorders>
              <w:top w:val="single" w:sz="4" w:space="0" w:color="auto"/>
              <w:left w:val="single" w:sz="4" w:space="0" w:color="auto"/>
              <w:bottom w:val="single" w:sz="4" w:space="0" w:color="auto"/>
              <w:right w:val="single" w:sz="4" w:space="0" w:color="auto"/>
            </w:tcBorders>
            <w:hideMark/>
          </w:tcPr>
          <w:p w14:paraId="35BB5E5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35" w:type="dxa"/>
            <w:tcBorders>
              <w:top w:val="single" w:sz="4" w:space="0" w:color="auto"/>
              <w:left w:val="single" w:sz="4" w:space="0" w:color="auto"/>
              <w:bottom w:val="single" w:sz="4" w:space="0" w:color="auto"/>
              <w:right w:val="single" w:sz="4" w:space="0" w:color="auto"/>
            </w:tcBorders>
            <w:hideMark/>
          </w:tcPr>
          <w:p w14:paraId="701ECD9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040" w:type="dxa"/>
            <w:tcBorders>
              <w:top w:val="single" w:sz="4" w:space="0" w:color="auto"/>
              <w:left w:val="single" w:sz="4" w:space="0" w:color="auto"/>
              <w:bottom w:val="single" w:sz="4" w:space="0" w:color="auto"/>
              <w:right w:val="single" w:sz="4" w:space="0" w:color="auto"/>
            </w:tcBorders>
            <w:hideMark/>
          </w:tcPr>
          <w:p w14:paraId="68C1736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Aa2.mx</w:t>
            </w:r>
          </w:p>
        </w:tc>
        <w:tc>
          <w:tcPr>
            <w:tcW w:w="1025" w:type="dxa"/>
            <w:tcBorders>
              <w:top w:val="single" w:sz="4" w:space="0" w:color="auto"/>
              <w:left w:val="single" w:sz="4" w:space="0" w:color="auto"/>
              <w:bottom w:val="single" w:sz="4" w:space="0" w:color="auto"/>
              <w:right w:val="single" w:sz="4" w:space="0" w:color="auto"/>
            </w:tcBorders>
            <w:hideMark/>
          </w:tcPr>
          <w:p w14:paraId="6075A2D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982" w:type="dxa"/>
            <w:tcBorders>
              <w:top w:val="single" w:sz="4" w:space="0" w:color="auto"/>
              <w:left w:val="single" w:sz="4" w:space="0" w:color="auto"/>
              <w:bottom w:val="single" w:sz="4" w:space="0" w:color="auto"/>
              <w:right w:val="single" w:sz="4" w:space="0" w:color="auto"/>
            </w:tcBorders>
            <w:hideMark/>
          </w:tcPr>
          <w:p w14:paraId="1BF408B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43" w:type="dxa"/>
            <w:tcBorders>
              <w:top w:val="single" w:sz="4" w:space="0" w:color="auto"/>
              <w:left w:val="single" w:sz="4" w:space="0" w:color="auto"/>
              <w:bottom w:val="single" w:sz="4" w:space="0" w:color="auto"/>
              <w:right w:val="single" w:sz="4" w:space="0" w:color="auto"/>
            </w:tcBorders>
            <w:hideMark/>
          </w:tcPr>
          <w:p w14:paraId="7BFE1CD4"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0731C94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79EB05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4</w:t>
            </w:r>
          </w:p>
        </w:tc>
        <w:tc>
          <w:tcPr>
            <w:tcW w:w="980" w:type="dxa"/>
            <w:tcBorders>
              <w:top w:val="single" w:sz="4" w:space="0" w:color="auto"/>
              <w:left w:val="single" w:sz="4" w:space="0" w:color="auto"/>
              <w:bottom w:val="single" w:sz="4" w:space="0" w:color="auto"/>
              <w:right w:val="single" w:sz="4" w:space="0" w:color="auto"/>
            </w:tcBorders>
            <w:hideMark/>
          </w:tcPr>
          <w:p w14:paraId="1DDFAF1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mxAA-</w:t>
            </w:r>
          </w:p>
        </w:tc>
        <w:tc>
          <w:tcPr>
            <w:tcW w:w="1235" w:type="dxa"/>
            <w:tcBorders>
              <w:top w:val="single" w:sz="4" w:space="0" w:color="auto"/>
              <w:left w:val="single" w:sz="4" w:space="0" w:color="auto"/>
              <w:bottom w:val="single" w:sz="4" w:space="0" w:color="auto"/>
              <w:right w:val="single" w:sz="4" w:space="0" w:color="auto"/>
            </w:tcBorders>
            <w:hideMark/>
          </w:tcPr>
          <w:p w14:paraId="294D6CF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AA-(mex)</w:t>
            </w:r>
          </w:p>
        </w:tc>
        <w:tc>
          <w:tcPr>
            <w:tcW w:w="1040" w:type="dxa"/>
            <w:tcBorders>
              <w:top w:val="single" w:sz="4" w:space="0" w:color="auto"/>
              <w:left w:val="single" w:sz="4" w:space="0" w:color="auto"/>
              <w:bottom w:val="single" w:sz="4" w:space="0" w:color="auto"/>
              <w:right w:val="single" w:sz="4" w:space="0" w:color="auto"/>
            </w:tcBorders>
            <w:hideMark/>
          </w:tcPr>
          <w:p w14:paraId="1A59DE2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Aa3.mx</w:t>
            </w:r>
          </w:p>
        </w:tc>
        <w:tc>
          <w:tcPr>
            <w:tcW w:w="1025" w:type="dxa"/>
            <w:tcBorders>
              <w:top w:val="single" w:sz="4" w:space="0" w:color="auto"/>
              <w:left w:val="single" w:sz="4" w:space="0" w:color="auto"/>
              <w:bottom w:val="single" w:sz="4" w:space="0" w:color="auto"/>
              <w:right w:val="single" w:sz="4" w:space="0" w:color="auto"/>
            </w:tcBorders>
            <w:hideMark/>
          </w:tcPr>
          <w:p w14:paraId="04AC4E4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AA-</w:t>
            </w:r>
          </w:p>
        </w:tc>
        <w:tc>
          <w:tcPr>
            <w:tcW w:w="982" w:type="dxa"/>
            <w:tcBorders>
              <w:top w:val="single" w:sz="4" w:space="0" w:color="auto"/>
              <w:left w:val="single" w:sz="4" w:space="0" w:color="auto"/>
              <w:bottom w:val="single" w:sz="4" w:space="0" w:color="auto"/>
              <w:right w:val="single" w:sz="4" w:space="0" w:color="auto"/>
            </w:tcBorders>
            <w:hideMark/>
          </w:tcPr>
          <w:p w14:paraId="6143673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AA-/M</w:t>
            </w:r>
          </w:p>
        </w:tc>
        <w:tc>
          <w:tcPr>
            <w:tcW w:w="2343" w:type="dxa"/>
            <w:tcBorders>
              <w:top w:val="single" w:sz="4" w:space="0" w:color="auto"/>
              <w:left w:val="single" w:sz="4" w:space="0" w:color="auto"/>
              <w:bottom w:val="single" w:sz="4" w:space="0" w:color="auto"/>
              <w:right w:val="single" w:sz="4" w:space="0" w:color="auto"/>
            </w:tcBorders>
            <w:hideMark/>
          </w:tcPr>
          <w:p w14:paraId="71DB5AA8"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1C6B203E"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1C03988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5</w:t>
            </w:r>
          </w:p>
        </w:tc>
        <w:tc>
          <w:tcPr>
            <w:tcW w:w="980" w:type="dxa"/>
            <w:tcBorders>
              <w:top w:val="single" w:sz="4" w:space="0" w:color="auto"/>
              <w:left w:val="single" w:sz="4" w:space="0" w:color="auto"/>
              <w:bottom w:val="single" w:sz="4" w:space="0" w:color="auto"/>
              <w:right w:val="single" w:sz="4" w:space="0" w:color="auto"/>
            </w:tcBorders>
            <w:hideMark/>
          </w:tcPr>
          <w:p w14:paraId="50FEACC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35" w:type="dxa"/>
            <w:tcBorders>
              <w:top w:val="single" w:sz="4" w:space="0" w:color="auto"/>
              <w:left w:val="single" w:sz="4" w:space="0" w:color="auto"/>
              <w:bottom w:val="single" w:sz="4" w:space="0" w:color="auto"/>
              <w:right w:val="single" w:sz="4" w:space="0" w:color="auto"/>
            </w:tcBorders>
            <w:hideMark/>
          </w:tcPr>
          <w:p w14:paraId="5536802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040" w:type="dxa"/>
            <w:tcBorders>
              <w:top w:val="single" w:sz="4" w:space="0" w:color="auto"/>
              <w:left w:val="single" w:sz="4" w:space="0" w:color="auto"/>
              <w:bottom w:val="single" w:sz="4" w:space="0" w:color="auto"/>
              <w:right w:val="single" w:sz="4" w:space="0" w:color="auto"/>
            </w:tcBorders>
            <w:hideMark/>
          </w:tcPr>
          <w:p w14:paraId="26DED3F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A1.mx</w:t>
            </w:r>
          </w:p>
        </w:tc>
        <w:tc>
          <w:tcPr>
            <w:tcW w:w="1025" w:type="dxa"/>
            <w:tcBorders>
              <w:top w:val="single" w:sz="4" w:space="0" w:color="auto"/>
              <w:left w:val="single" w:sz="4" w:space="0" w:color="auto"/>
              <w:bottom w:val="single" w:sz="4" w:space="0" w:color="auto"/>
              <w:right w:val="single" w:sz="4" w:space="0" w:color="auto"/>
            </w:tcBorders>
            <w:hideMark/>
          </w:tcPr>
          <w:p w14:paraId="4D76CAB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982" w:type="dxa"/>
            <w:tcBorders>
              <w:top w:val="single" w:sz="4" w:space="0" w:color="auto"/>
              <w:left w:val="single" w:sz="4" w:space="0" w:color="auto"/>
              <w:bottom w:val="single" w:sz="4" w:space="0" w:color="auto"/>
              <w:right w:val="single" w:sz="4" w:space="0" w:color="auto"/>
            </w:tcBorders>
            <w:hideMark/>
          </w:tcPr>
          <w:p w14:paraId="614B2DA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w:t>
            </w:r>
          </w:p>
        </w:tc>
        <w:tc>
          <w:tcPr>
            <w:tcW w:w="2343" w:type="dxa"/>
            <w:tcBorders>
              <w:top w:val="single" w:sz="4" w:space="0" w:color="auto"/>
              <w:left w:val="single" w:sz="4" w:space="0" w:color="auto"/>
              <w:bottom w:val="single" w:sz="4" w:space="0" w:color="auto"/>
              <w:right w:val="single" w:sz="4" w:space="0" w:color="auto"/>
            </w:tcBorders>
            <w:hideMark/>
          </w:tcPr>
          <w:p w14:paraId="1C23972B"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7167D24F"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54C0B94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6</w:t>
            </w:r>
          </w:p>
        </w:tc>
        <w:tc>
          <w:tcPr>
            <w:tcW w:w="980" w:type="dxa"/>
            <w:tcBorders>
              <w:top w:val="single" w:sz="4" w:space="0" w:color="auto"/>
              <w:left w:val="single" w:sz="4" w:space="0" w:color="auto"/>
              <w:bottom w:val="single" w:sz="4" w:space="0" w:color="auto"/>
              <w:right w:val="single" w:sz="4" w:space="0" w:color="auto"/>
            </w:tcBorders>
            <w:hideMark/>
          </w:tcPr>
          <w:p w14:paraId="0090889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35" w:type="dxa"/>
            <w:tcBorders>
              <w:top w:val="single" w:sz="4" w:space="0" w:color="auto"/>
              <w:left w:val="single" w:sz="4" w:space="0" w:color="auto"/>
              <w:bottom w:val="single" w:sz="4" w:space="0" w:color="auto"/>
              <w:right w:val="single" w:sz="4" w:space="0" w:color="auto"/>
            </w:tcBorders>
            <w:hideMark/>
          </w:tcPr>
          <w:p w14:paraId="43D52B1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040" w:type="dxa"/>
            <w:tcBorders>
              <w:top w:val="single" w:sz="4" w:space="0" w:color="auto"/>
              <w:left w:val="single" w:sz="4" w:space="0" w:color="auto"/>
              <w:bottom w:val="single" w:sz="4" w:space="0" w:color="auto"/>
              <w:right w:val="single" w:sz="4" w:space="0" w:color="auto"/>
            </w:tcBorders>
            <w:hideMark/>
          </w:tcPr>
          <w:p w14:paraId="63E25B6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A2.mx</w:t>
            </w:r>
          </w:p>
        </w:tc>
        <w:tc>
          <w:tcPr>
            <w:tcW w:w="1025" w:type="dxa"/>
            <w:tcBorders>
              <w:top w:val="single" w:sz="4" w:space="0" w:color="auto"/>
              <w:left w:val="single" w:sz="4" w:space="0" w:color="auto"/>
              <w:bottom w:val="single" w:sz="4" w:space="0" w:color="auto"/>
              <w:right w:val="single" w:sz="4" w:space="0" w:color="auto"/>
            </w:tcBorders>
            <w:hideMark/>
          </w:tcPr>
          <w:p w14:paraId="7DD9927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982" w:type="dxa"/>
            <w:tcBorders>
              <w:top w:val="single" w:sz="4" w:space="0" w:color="auto"/>
              <w:left w:val="single" w:sz="4" w:space="0" w:color="auto"/>
              <w:bottom w:val="single" w:sz="4" w:space="0" w:color="auto"/>
              <w:right w:val="single" w:sz="4" w:space="0" w:color="auto"/>
            </w:tcBorders>
            <w:hideMark/>
          </w:tcPr>
          <w:p w14:paraId="1ED5292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w:t>
            </w:r>
          </w:p>
        </w:tc>
        <w:tc>
          <w:tcPr>
            <w:tcW w:w="2343" w:type="dxa"/>
            <w:tcBorders>
              <w:top w:val="single" w:sz="4" w:space="0" w:color="auto"/>
              <w:left w:val="single" w:sz="4" w:space="0" w:color="auto"/>
              <w:bottom w:val="single" w:sz="4" w:space="0" w:color="auto"/>
              <w:right w:val="single" w:sz="4" w:space="0" w:color="auto"/>
            </w:tcBorders>
            <w:hideMark/>
          </w:tcPr>
          <w:p w14:paraId="7298F7D0"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0B5FC82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36FC025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7</w:t>
            </w:r>
          </w:p>
        </w:tc>
        <w:tc>
          <w:tcPr>
            <w:tcW w:w="980" w:type="dxa"/>
            <w:tcBorders>
              <w:top w:val="single" w:sz="4" w:space="0" w:color="auto"/>
              <w:left w:val="single" w:sz="4" w:space="0" w:color="auto"/>
              <w:bottom w:val="single" w:sz="4" w:space="0" w:color="auto"/>
              <w:right w:val="single" w:sz="4" w:space="0" w:color="auto"/>
            </w:tcBorders>
            <w:hideMark/>
          </w:tcPr>
          <w:p w14:paraId="7CF2446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mxA-</w:t>
            </w:r>
          </w:p>
        </w:tc>
        <w:tc>
          <w:tcPr>
            <w:tcW w:w="1235" w:type="dxa"/>
            <w:tcBorders>
              <w:top w:val="single" w:sz="4" w:space="0" w:color="auto"/>
              <w:left w:val="single" w:sz="4" w:space="0" w:color="auto"/>
              <w:bottom w:val="single" w:sz="4" w:space="0" w:color="auto"/>
              <w:right w:val="single" w:sz="4" w:space="0" w:color="auto"/>
            </w:tcBorders>
            <w:hideMark/>
          </w:tcPr>
          <w:p w14:paraId="753809B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A-(mex)</w:t>
            </w:r>
          </w:p>
        </w:tc>
        <w:tc>
          <w:tcPr>
            <w:tcW w:w="1040" w:type="dxa"/>
            <w:tcBorders>
              <w:top w:val="single" w:sz="4" w:space="0" w:color="auto"/>
              <w:left w:val="single" w:sz="4" w:space="0" w:color="auto"/>
              <w:bottom w:val="single" w:sz="4" w:space="0" w:color="auto"/>
              <w:right w:val="single" w:sz="4" w:space="0" w:color="auto"/>
            </w:tcBorders>
            <w:hideMark/>
          </w:tcPr>
          <w:p w14:paraId="01D9EF6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A3.mx</w:t>
            </w:r>
          </w:p>
        </w:tc>
        <w:tc>
          <w:tcPr>
            <w:tcW w:w="1025" w:type="dxa"/>
            <w:tcBorders>
              <w:top w:val="single" w:sz="4" w:space="0" w:color="auto"/>
              <w:left w:val="single" w:sz="4" w:space="0" w:color="auto"/>
              <w:bottom w:val="single" w:sz="4" w:space="0" w:color="auto"/>
              <w:right w:val="single" w:sz="4" w:space="0" w:color="auto"/>
            </w:tcBorders>
            <w:hideMark/>
          </w:tcPr>
          <w:p w14:paraId="20C2EDC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A-</w:t>
            </w:r>
          </w:p>
        </w:tc>
        <w:tc>
          <w:tcPr>
            <w:tcW w:w="982" w:type="dxa"/>
            <w:tcBorders>
              <w:top w:val="single" w:sz="4" w:space="0" w:color="auto"/>
              <w:left w:val="single" w:sz="4" w:space="0" w:color="auto"/>
              <w:bottom w:val="single" w:sz="4" w:space="0" w:color="auto"/>
              <w:right w:val="single" w:sz="4" w:space="0" w:color="auto"/>
            </w:tcBorders>
            <w:hideMark/>
          </w:tcPr>
          <w:p w14:paraId="7127F80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A-/M</w:t>
            </w:r>
          </w:p>
        </w:tc>
        <w:tc>
          <w:tcPr>
            <w:tcW w:w="2343" w:type="dxa"/>
            <w:tcBorders>
              <w:top w:val="single" w:sz="4" w:space="0" w:color="auto"/>
              <w:left w:val="single" w:sz="4" w:space="0" w:color="auto"/>
              <w:bottom w:val="single" w:sz="4" w:space="0" w:color="auto"/>
              <w:right w:val="single" w:sz="4" w:space="0" w:color="auto"/>
            </w:tcBorders>
            <w:hideMark/>
          </w:tcPr>
          <w:p w14:paraId="256413FE"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00AD4AD5"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48D26B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8</w:t>
            </w:r>
          </w:p>
        </w:tc>
        <w:tc>
          <w:tcPr>
            <w:tcW w:w="980" w:type="dxa"/>
            <w:tcBorders>
              <w:top w:val="single" w:sz="4" w:space="0" w:color="auto"/>
              <w:left w:val="single" w:sz="4" w:space="0" w:color="auto"/>
              <w:bottom w:val="single" w:sz="4" w:space="0" w:color="auto"/>
              <w:right w:val="single" w:sz="4" w:space="0" w:color="auto"/>
            </w:tcBorders>
            <w:hideMark/>
          </w:tcPr>
          <w:p w14:paraId="661382C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35" w:type="dxa"/>
            <w:tcBorders>
              <w:top w:val="single" w:sz="4" w:space="0" w:color="auto"/>
              <w:left w:val="single" w:sz="4" w:space="0" w:color="auto"/>
              <w:bottom w:val="single" w:sz="4" w:space="0" w:color="auto"/>
              <w:right w:val="single" w:sz="4" w:space="0" w:color="auto"/>
            </w:tcBorders>
            <w:hideMark/>
          </w:tcPr>
          <w:p w14:paraId="158C60E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040" w:type="dxa"/>
            <w:tcBorders>
              <w:top w:val="single" w:sz="4" w:space="0" w:color="auto"/>
              <w:left w:val="single" w:sz="4" w:space="0" w:color="auto"/>
              <w:bottom w:val="single" w:sz="4" w:space="0" w:color="auto"/>
              <w:right w:val="single" w:sz="4" w:space="0" w:color="auto"/>
            </w:tcBorders>
            <w:hideMark/>
          </w:tcPr>
          <w:p w14:paraId="456E9DF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Baa1.mx</w:t>
            </w:r>
          </w:p>
        </w:tc>
        <w:tc>
          <w:tcPr>
            <w:tcW w:w="1025" w:type="dxa"/>
            <w:tcBorders>
              <w:top w:val="single" w:sz="4" w:space="0" w:color="auto"/>
              <w:left w:val="single" w:sz="4" w:space="0" w:color="auto"/>
              <w:bottom w:val="single" w:sz="4" w:space="0" w:color="auto"/>
              <w:right w:val="single" w:sz="4" w:space="0" w:color="auto"/>
            </w:tcBorders>
            <w:hideMark/>
          </w:tcPr>
          <w:p w14:paraId="3FAEE5F8"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982" w:type="dxa"/>
            <w:tcBorders>
              <w:top w:val="single" w:sz="4" w:space="0" w:color="auto"/>
              <w:left w:val="single" w:sz="4" w:space="0" w:color="auto"/>
              <w:bottom w:val="single" w:sz="4" w:space="0" w:color="auto"/>
              <w:right w:val="single" w:sz="4" w:space="0" w:color="auto"/>
            </w:tcBorders>
            <w:hideMark/>
          </w:tcPr>
          <w:p w14:paraId="33B941B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w:t>
            </w:r>
          </w:p>
        </w:tc>
        <w:tc>
          <w:tcPr>
            <w:tcW w:w="2343" w:type="dxa"/>
            <w:tcBorders>
              <w:top w:val="single" w:sz="4" w:space="0" w:color="auto"/>
              <w:left w:val="single" w:sz="4" w:space="0" w:color="auto"/>
              <w:bottom w:val="single" w:sz="4" w:space="0" w:color="auto"/>
              <w:right w:val="single" w:sz="4" w:space="0" w:color="auto"/>
            </w:tcBorders>
            <w:hideMark/>
          </w:tcPr>
          <w:p w14:paraId="651C1061"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43AEDBBD"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131C8EF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9</w:t>
            </w:r>
          </w:p>
        </w:tc>
        <w:tc>
          <w:tcPr>
            <w:tcW w:w="980" w:type="dxa"/>
            <w:tcBorders>
              <w:top w:val="single" w:sz="4" w:space="0" w:color="auto"/>
              <w:left w:val="single" w:sz="4" w:space="0" w:color="auto"/>
              <w:bottom w:val="single" w:sz="4" w:space="0" w:color="auto"/>
              <w:right w:val="single" w:sz="4" w:space="0" w:color="auto"/>
            </w:tcBorders>
            <w:hideMark/>
          </w:tcPr>
          <w:p w14:paraId="49A48AE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35" w:type="dxa"/>
            <w:tcBorders>
              <w:top w:val="single" w:sz="4" w:space="0" w:color="auto"/>
              <w:left w:val="single" w:sz="4" w:space="0" w:color="auto"/>
              <w:bottom w:val="single" w:sz="4" w:space="0" w:color="auto"/>
              <w:right w:val="single" w:sz="4" w:space="0" w:color="auto"/>
            </w:tcBorders>
            <w:hideMark/>
          </w:tcPr>
          <w:p w14:paraId="487236C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040" w:type="dxa"/>
            <w:tcBorders>
              <w:top w:val="single" w:sz="4" w:space="0" w:color="auto"/>
              <w:left w:val="single" w:sz="4" w:space="0" w:color="auto"/>
              <w:bottom w:val="single" w:sz="4" w:space="0" w:color="auto"/>
              <w:right w:val="single" w:sz="4" w:space="0" w:color="auto"/>
            </w:tcBorders>
            <w:hideMark/>
          </w:tcPr>
          <w:p w14:paraId="60ABFA2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Baa2.mx</w:t>
            </w:r>
          </w:p>
        </w:tc>
        <w:tc>
          <w:tcPr>
            <w:tcW w:w="1025" w:type="dxa"/>
            <w:tcBorders>
              <w:top w:val="single" w:sz="4" w:space="0" w:color="auto"/>
              <w:left w:val="single" w:sz="4" w:space="0" w:color="auto"/>
              <w:bottom w:val="single" w:sz="4" w:space="0" w:color="auto"/>
              <w:right w:val="single" w:sz="4" w:space="0" w:color="auto"/>
            </w:tcBorders>
            <w:hideMark/>
          </w:tcPr>
          <w:p w14:paraId="40A9B60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982" w:type="dxa"/>
            <w:tcBorders>
              <w:top w:val="single" w:sz="4" w:space="0" w:color="auto"/>
              <w:left w:val="single" w:sz="4" w:space="0" w:color="auto"/>
              <w:bottom w:val="single" w:sz="4" w:space="0" w:color="auto"/>
              <w:right w:val="single" w:sz="4" w:space="0" w:color="auto"/>
            </w:tcBorders>
            <w:hideMark/>
          </w:tcPr>
          <w:p w14:paraId="49B8823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w:t>
            </w:r>
          </w:p>
        </w:tc>
        <w:tc>
          <w:tcPr>
            <w:tcW w:w="2343" w:type="dxa"/>
            <w:tcBorders>
              <w:top w:val="single" w:sz="4" w:space="0" w:color="auto"/>
              <w:left w:val="single" w:sz="4" w:space="0" w:color="auto"/>
              <w:bottom w:val="single" w:sz="4" w:space="0" w:color="auto"/>
              <w:right w:val="single" w:sz="4" w:space="0" w:color="auto"/>
            </w:tcBorders>
            <w:hideMark/>
          </w:tcPr>
          <w:p w14:paraId="4668F5EA"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53BE9B67" w14:textId="77777777" w:rsidTr="00682B6D">
        <w:trPr>
          <w:trHeight w:val="166"/>
          <w:jc w:val="center"/>
        </w:trPr>
        <w:tc>
          <w:tcPr>
            <w:tcW w:w="889" w:type="dxa"/>
            <w:tcBorders>
              <w:top w:val="single" w:sz="4" w:space="0" w:color="auto"/>
              <w:left w:val="single" w:sz="4" w:space="0" w:color="auto"/>
              <w:bottom w:val="single" w:sz="4" w:space="0" w:color="auto"/>
              <w:right w:val="single" w:sz="4" w:space="0" w:color="auto"/>
            </w:tcBorders>
            <w:hideMark/>
          </w:tcPr>
          <w:p w14:paraId="2630B15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10</w:t>
            </w:r>
          </w:p>
        </w:tc>
        <w:tc>
          <w:tcPr>
            <w:tcW w:w="980" w:type="dxa"/>
            <w:tcBorders>
              <w:top w:val="single" w:sz="4" w:space="0" w:color="auto"/>
              <w:left w:val="single" w:sz="4" w:space="0" w:color="auto"/>
              <w:bottom w:val="single" w:sz="4" w:space="0" w:color="auto"/>
              <w:right w:val="single" w:sz="4" w:space="0" w:color="auto"/>
            </w:tcBorders>
            <w:hideMark/>
          </w:tcPr>
          <w:p w14:paraId="350F00C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mxBBB-</w:t>
            </w:r>
          </w:p>
        </w:tc>
        <w:tc>
          <w:tcPr>
            <w:tcW w:w="1235" w:type="dxa"/>
            <w:tcBorders>
              <w:top w:val="single" w:sz="4" w:space="0" w:color="auto"/>
              <w:left w:val="single" w:sz="4" w:space="0" w:color="auto"/>
              <w:bottom w:val="single" w:sz="4" w:space="0" w:color="auto"/>
              <w:right w:val="single" w:sz="4" w:space="0" w:color="auto"/>
            </w:tcBorders>
            <w:hideMark/>
          </w:tcPr>
          <w:p w14:paraId="1B9D033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BBB-(mex)</w:t>
            </w:r>
          </w:p>
        </w:tc>
        <w:tc>
          <w:tcPr>
            <w:tcW w:w="1040" w:type="dxa"/>
            <w:tcBorders>
              <w:top w:val="single" w:sz="4" w:space="0" w:color="auto"/>
              <w:left w:val="single" w:sz="4" w:space="0" w:color="auto"/>
              <w:bottom w:val="single" w:sz="4" w:space="0" w:color="auto"/>
              <w:right w:val="single" w:sz="4" w:space="0" w:color="auto"/>
            </w:tcBorders>
            <w:hideMark/>
          </w:tcPr>
          <w:p w14:paraId="7192498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Baa3.mx</w:t>
            </w:r>
          </w:p>
        </w:tc>
        <w:tc>
          <w:tcPr>
            <w:tcW w:w="1025" w:type="dxa"/>
            <w:tcBorders>
              <w:top w:val="single" w:sz="4" w:space="0" w:color="auto"/>
              <w:left w:val="single" w:sz="4" w:space="0" w:color="auto"/>
              <w:bottom w:val="single" w:sz="4" w:space="0" w:color="auto"/>
              <w:right w:val="single" w:sz="4" w:space="0" w:color="auto"/>
            </w:tcBorders>
            <w:hideMark/>
          </w:tcPr>
          <w:p w14:paraId="141B780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BBB-</w:t>
            </w:r>
          </w:p>
        </w:tc>
        <w:tc>
          <w:tcPr>
            <w:tcW w:w="982" w:type="dxa"/>
            <w:tcBorders>
              <w:top w:val="single" w:sz="4" w:space="0" w:color="auto"/>
              <w:left w:val="single" w:sz="4" w:space="0" w:color="auto"/>
              <w:bottom w:val="single" w:sz="4" w:space="0" w:color="auto"/>
              <w:right w:val="single" w:sz="4" w:space="0" w:color="auto"/>
            </w:tcBorders>
            <w:hideMark/>
          </w:tcPr>
          <w:p w14:paraId="7CD7FF4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BBB-/M</w:t>
            </w:r>
          </w:p>
        </w:tc>
        <w:tc>
          <w:tcPr>
            <w:tcW w:w="2343" w:type="dxa"/>
            <w:tcBorders>
              <w:top w:val="single" w:sz="4" w:space="0" w:color="auto"/>
              <w:left w:val="single" w:sz="4" w:space="0" w:color="auto"/>
              <w:bottom w:val="single" w:sz="4" w:space="0" w:color="auto"/>
              <w:right w:val="single" w:sz="4" w:space="0" w:color="auto"/>
            </w:tcBorders>
            <w:hideMark/>
          </w:tcPr>
          <w:p w14:paraId="056A229D"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26224837"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525CAB5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11</w:t>
            </w:r>
          </w:p>
        </w:tc>
        <w:tc>
          <w:tcPr>
            <w:tcW w:w="980" w:type="dxa"/>
            <w:tcBorders>
              <w:top w:val="single" w:sz="4" w:space="0" w:color="auto"/>
              <w:left w:val="single" w:sz="4" w:space="0" w:color="auto"/>
              <w:bottom w:val="single" w:sz="4" w:space="0" w:color="auto"/>
              <w:right w:val="single" w:sz="4" w:space="0" w:color="auto"/>
            </w:tcBorders>
            <w:hideMark/>
          </w:tcPr>
          <w:p w14:paraId="4826ECA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35" w:type="dxa"/>
            <w:tcBorders>
              <w:top w:val="single" w:sz="4" w:space="0" w:color="auto"/>
              <w:left w:val="single" w:sz="4" w:space="0" w:color="auto"/>
              <w:bottom w:val="single" w:sz="4" w:space="0" w:color="auto"/>
              <w:right w:val="single" w:sz="4" w:space="0" w:color="auto"/>
            </w:tcBorders>
            <w:hideMark/>
          </w:tcPr>
          <w:p w14:paraId="18524CD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040" w:type="dxa"/>
            <w:tcBorders>
              <w:top w:val="single" w:sz="4" w:space="0" w:color="auto"/>
              <w:left w:val="single" w:sz="4" w:space="0" w:color="auto"/>
              <w:bottom w:val="single" w:sz="4" w:space="0" w:color="auto"/>
              <w:right w:val="single" w:sz="4" w:space="0" w:color="auto"/>
            </w:tcBorders>
            <w:hideMark/>
          </w:tcPr>
          <w:p w14:paraId="2859A89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Ba1.mx</w:t>
            </w:r>
          </w:p>
        </w:tc>
        <w:tc>
          <w:tcPr>
            <w:tcW w:w="1025" w:type="dxa"/>
            <w:tcBorders>
              <w:top w:val="single" w:sz="4" w:space="0" w:color="auto"/>
              <w:left w:val="single" w:sz="4" w:space="0" w:color="auto"/>
              <w:bottom w:val="single" w:sz="4" w:space="0" w:color="auto"/>
              <w:right w:val="single" w:sz="4" w:space="0" w:color="auto"/>
            </w:tcBorders>
            <w:hideMark/>
          </w:tcPr>
          <w:p w14:paraId="12A5B1A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982" w:type="dxa"/>
            <w:tcBorders>
              <w:top w:val="single" w:sz="4" w:space="0" w:color="auto"/>
              <w:left w:val="single" w:sz="4" w:space="0" w:color="auto"/>
              <w:bottom w:val="single" w:sz="4" w:space="0" w:color="auto"/>
              <w:right w:val="single" w:sz="4" w:space="0" w:color="auto"/>
            </w:tcBorders>
            <w:hideMark/>
          </w:tcPr>
          <w:p w14:paraId="799E073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w:t>
            </w:r>
          </w:p>
        </w:tc>
        <w:tc>
          <w:tcPr>
            <w:tcW w:w="2343" w:type="dxa"/>
            <w:tcBorders>
              <w:top w:val="single" w:sz="4" w:space="0" w:color="auto"/>
              <w:left w:val="single" w:sz="4" w:space="0" w:color="auto"/>
              <w:bottom w:val="single" w:sz="4" w:space="0" w:color="auto"/>
              <w:right w:val="single" w:sz="4" w:space="0" w:color="auto"/>
            </w:tcBorders>
            <w:hideMark/>
          </w:tcPr>
          <w:p w14:paraId="3E88EE14" w14:textId="77777777" w:rsidR="00AF6ECC" w:rsidRPr="006843FF" w:rsidRDefault="00AF6ECC" w:rsidP="00682B6D">
            <w:pPr>
              <w:spacing w:line="240" w:lineRule="auto"/>
              <w:jc w:val="center"/>
              <w:rPr>
                <w:rFonts w:asciiTheme="minorHAnsi" w:hAnsiTheme="minorHAnsi" w:cstheme="minorHAnsi"/>
                <w:sz w:val="22"/>
                <w:szCs w:val="22"/>
              </w:rPr>
            </w:pPr>
            <w:r w:rsidRPr="00817249">
              <w:rPr>
                <w:rFonts w:asciiTheme="minorHAnsi" w:hAnsiTheme="minorHAnsi" w:cstheme="minorHAnsi"/>
                <w:sz w:val="22"/>
                <w:szCs w:val="22"/>
              </w:rPr>
              <w:t>[•] PB</w:t>
            </w:r>
          </w:p>
        </w:tc>
      </w:tr>
      <w:tr w:rsidR="00AF6ECC" w:rsidRPr="006843FF" w14:paraId="606096E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0C391C6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12</w:t>
            </w:r>
          </w:p>
        </w:tc>
        <w:tc>
          <w:tcPr>
            <w:tcW w:w="980" w:type="dxa"/>
            <w:tcBorders>
              <w:top w:val="single" w:sz="4" w:space="0" w:color="auto"/>
              <w:left w:val="single" w:sz="4" w:space="0" w:color="auto"/>
              <w:bottom w:val="single" w:sz="4" w:space="0" w:color="auto"/>
              <w:right w:val="single" w:sz="4" w:space="0" w:color="auto"/>
            </w:tcBorders>
            <w:hideMark/>
          </w:tcPr>
          <w:p w14:paraId="06028A2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35" w:type="dxa"/>
            <w:tcBorders>
              <w:top w:val="single" w:sz="4" w:space="0" w:color="auto"/>
              <w:left w:val="single" w:sz="4" w:space="0" w:color="auto"/>
              <w:bottom w:val="single" w:sz="4" w:space="0" w:color="auto"/>
              <w:right w:val="single" w:sz="4" w:space="0" w:color="auto"/>
            </w:tcBorders>
            <w:hideMark/>
          </w:tcPr>
          <w:p w14:paraId="2A7A0C7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040" w:type="dxa"/>
            <w:tcBorders>
              <w:top w:val="single" w:sz="4" w:space="0" w:color="auto"/>
              <w:left w:val="single" w:sz="4" w:space="0" w:color="auto"/>
              <w:bottom w:val="single" w:sz="4" w:space="0" w:color="auto"/>
              <w:right w:val="single" w:sz="4" w:space="0" w:color="auto"/>
            </w:tcBorders>
            <w:hideMark/>
          </w:tcPr>
          <w:p w14:paraId="273D5AC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Ba2.mx</w:t>
            </w:r>
          </w:p>
        </w:tc>
        <w:tc>
          <w:tcPr>
            <w:tcW w:w="1025" w:type="dxa"/>
            <w:tcBorders>
              <w:top w:val="single" w:sz="4" w:space="0" w:color="auto"/>
              <w:left w:val="single" w:sz="4" w:space="0" w:color="auto"/>
              <w:bottom w:val="single" w:sz="4" w:space="0" w:color="auto"/>
              <w:right w:val="single" w:sz="4" w:space="0" w:color="auto"/>
            </w:tcBorders>
            <w:hideMark/>
          </w:tcPr>
          <w:p w14:paraId="77D0F99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982" w:type="dxa"/>
            <w:tcBorders>
              <w:top w:val="single" w:sz="4" w:space="0" w:color="auto"/>
              <w:left w:val="single" w:sz="4" w:space="0" w:color="auto"/>
              <w:bottom w:val="single" w:sz="4" w:space="0" w:color="auto"/>
              <w:right w:val="single" w:sz="4" w:space="0" w:color="auto"/>
            </w:tcBorders>
            <w:hideMark/>
          </w:tcPr>
          <w:p w14:paraId="2704A3A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w:t>
            </w:r>
          </w:p>
        </w:tc>
        <w:tc>
          <w:tcPr>
            <w:tcW w:w="2343" w:type="dxa"/>
            <w:tcBorders>
              <w:top w:val="single" w:sz="4" w:space="0" w:color="auto"/>
              <w:left w:val="single" w:sz="4" w:space="0" w:color="auto"/>
              <w:bottom w:val="single" w:sz="4" w:space="0" w:color="auto"/>
              <w:right w:val="single" w:sz="4" w:space="0" w:color="auto"/>
            </w:tcBorders>
            <w:hideMark/>
          </w:tcPr>
          <w:p w14:paraId="7807DAC4"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2DE803E3"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488EB0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13</w:t>
            </w:r>
          </w:p>
        </w:tc>
        <w:tc>
          <w:tcPr>
            <w:tcW w:w="980" w:type="dxa"/>
            <w:tcBorders>
              <w:top w:val="single" w:sz="4" w:space="0" w:color="auto"/>
              <w:left w:val="single" w:sz="4" w:space="0" w:color="auto"/>
              <w:bottom w:val="single" w:sz="4" w:space="0" w:color="auto"/>
              <w:right w:val="single" w:sz="4" w:space="0" w:color="auto"/>
            </w:tcBorders>
            <w:hideMark/>
          </w:tcPr>
          <w:p w14:paraId="43ACB18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mxBB-</w:t>
            </w:r>
          </w:p>
        </w:tc>
        <w:tc>
          <w:tcPr>
            <w:tcW w:w="1235" w:type="dxa"/>
            <w:tcBorders>
              <w:top w:val="single" w:sz="4" w:space="0" w:color="auto"/>
              <w:left w:val="single" w:sz="4" w:space="0" w:color="auto"/>
              <w:bottom w:val="single" w:sz="4" w:space="0" w:color="auto"/>
              <w:right w:val="single" w:sz="4" w:space="0" w:color="auto"/>
            </w:tcBorders>
            <w:hideMark/>
          </w:tcPr>
          <w:p w14:paraId="5324319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BB-(mex)</w:t>
            </w:r>
          </w:p>
        </w:tc>
        <w:tc>
          <w:tcPr>
            <w:tcW w:w="1040" w:type="dxa"/>
            <w:tcBorders>
              <w:top w:val="single" w:sz="4" w:space="0" w:color="auto"/>
              <w:left w:val="single" w:sz="4" w:space="0" w:color="auto"/>
              <w:bottom w:val="single" w:sz="4" w:space="0" w:color="auto"/>
              <w:right w:val="single" w:sz="4" w:space="0" w:color="auto"/>
            </w:tcBorders>
            <w:hideMark/>
          </w:tcPr>
          <w:p w14:paraId="2E8F064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Ba3.mx</w:t>
            </w:r>
          </w:p>
        </w:tc>
        <w:tc>
          <w:tcPr>
            <w:tcW w:w="1025" w:type="dxa"/>
            <w:tcBorders>
              <w:top w:val="single" w:sz="4" w:space="0" w:color="auto"/>
              <w:left w:val="single" w:sz="4" w:space="0" w:color="auto"/>
              <w:bottom w:val="single" w:sz="4" w:space="0" w:color="auto"/>
              <w:right w:val="single" w:sz="4" w:space="0" w:color="auto"/>
            </w:tcBorders>
            <w:hideMark/>
          </w:tcPr>
          <w:p w14:paraId="3FF0DA3D"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BB-</w:t>
            </w:r>
          </w:p>
        </w:tc>
        <w:tc>
          <w:tcPr>
            <w:tcW w:w="982" w:type="dxa"/>
            <w:tcBorders>
              <w:top w:val="single" w:sz="4" w:space="0" w:color="auto"/>
              <w:left w:val="single" w:sz="4" w:space="0" w:color="auto"/>
              <w:bottom w:val="single" w:sz="4" w:space="0" w:color="auto"/>
              <w:right w:val="single" w:sz="4" w:space="0" w:color="auto"/>
            </w:tcBorders>
            <w:hideMark/>
          </w:tcPr>
          <w:p w14:paraId="15F1271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BB-/M</w:t>
            </w:r>
          </w:p>
        </w:tc>
        <w:tc>
          <w:tcPr>
            <w:tcW w:w="2343" w:type="dxa"/>
            <w:tcBorders>
              <w:top w:val="single" w:sz="4" w:space="0" w:color="auto"/>
              <w:left w:val="single" w:sz="4" w:space="0" w:color="auto"/>
              <w:bottom w:val="single" w:sz="4" w:space="0" w:color="auto"/>
              <w:right w:val="single" w:sz="4" w:space="0" w:color="auto"/>
            </w:tcBorders>
            <w:hideMark/>
          </w:tcPr>
          <w:p w14:paraId="5F75310F"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1C9BAEA0"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38E9E37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14</w:t>
            </w:r>
          </w:p>
        </w:tc>
        <w:tc>
          <w:tcPr>
            <w:tcW w:w="980" w:type="dxa"/>
            <w:tcBorders>
              <w:top w:val="single" w:sz="4" w:space="0" w:color="auto"/>
              <w:left w:val="single" w:sz="4" w:space="0" w:color="auto"/>
              <w:bottom w:val="single" w:sz="4" w:space="0" w:color="auto"/>
              <w:right w:val="single" w:sz="4" w:space="0" w:color="auto"/>
            </w:tcBorders>
            <w:hideMark/>
          </w:tcPr>
          <w:p w14:paraId="7FC861C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35" w:type="dxa"/>
            <w:tcBorders>
              <w:top w:val="single" w:sz="4" w:space="0" w:color="auto"/>
              <w:left w:val="single" w:sz="4" w:space="0" w:color="auto"/>
              <w:bottom w:val="single" w:sz="4" w:space="0" w:color="auto"/>
              <w:right w:val="single" w:sz="4" w:space="0" w:color="auto"/>
            </w:tcBorders>
            <w:hideMark/>
          </w:tcPr>
          <w:p w14:paraId="455C4B2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040" w:type="dxa"/>
            <w:tcBorders>
              <w:top w:val="single" w:sz="4" w:space="0" w:color="auto"/>
              <w:left w:val="single" w:sz="4" w:space="0" w:color="auto"/>
              <w:bottom w:val="single" w:sz="4" w:space="0" w:color="auto"/>
              <w:right w:val="single" w:sz="4" w:space="0" w:color="auto"/>
            </w:tcBorders>
            <w:hideMark/>
          </w:tcPr>
          <w:p w14:paraId="00BB65F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B1.mx</w:t>
            </w:r>
          </w:p>
        </w:tc>
        <w:tc>
          <w:tcPr>
            <w:tcW w:w="1025" w:type="dxa"/>
            <w:tcBorders>
              <w:top w:val="single" w:sz="4" w:space="0" w:color="auto"/>
              <w:left w:val="single" w:sz="4" w:space="0" w:color="auto"/>
              <w:bottom w:val="single" w:sz="4" w:space="0" w:color="auto"/>
              <w:right w:val="single" w:sz="4" w:space="0" w:color="auto"/>
            </w:tcBorders>
            <w:hideMark/>
          </w:tcPr>
          <w:p w14:paraId="30429B6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982" w:type="dxa"/>
            <w:tcBorders>
              <w:top w:val="single" w:sz="4" w:space="0" w:color="auto"/>
              <w:left w:val="single" w:sz="4" w:space="0" w:color="auto"/>
              <w:bottom w:val="single" w:sz="4" w:space="0" w:color="auto"/>
              <w:right w:val="single" w:sz="4" w:space="0" w:color="auto"/>
            </w:tcBorders>
            <w:hideMark/>
          </w:tcPr>
          <w:p w14:paraId="06518C6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43" w:type="dxa"/>
            <w:tcBorders>
              <w:top w:val="single" w:sz="4" w:space="0" w:color="auto"/>
              <w:left w:val="single" w:sz="4" w:space="0" w:color="auto"/>
              <w:bottom w:val="single" w:sz="4" w:space="0" w:color="auto"/>
              <w:right w:val="single" w:sz="4" w:space="0" w:color="auto"/>
            </w:tcBorders>
            <w:hideMark/>
          </w:tcPr>
          <w:p w14:paraId="018313CF"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7A1F749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1B86F7B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15</w:t>
            </w:r>
          </w:p>
        </w:tc>
        <w:tc>
          <w:tcPr>
            <w:tcW w:w="980" w:type="dxa"/>
            <w:tcBorders>
              <w:top w:val="single" w:sz="4" w:space="0" w:color="auto"/>
              <w:left w:val="single" w:sz="4" w:space="0" w:color="auto"/>
              <w:bottom w:val="single" w:sz="4" w:space="0" w:color="auto"/>
              <w:right w:val="single" w:sz="4" w:space="0" w:color="auto"/>
            </w:tcBorders>
            <w:hideMark/>
          </w:tcPr>
          <w:p w14:paraId="23DA356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35" w:type="dxa"/>
            <w:tcBorders>
              <w:top w:val="single" w:sz="4" w:space="0" w:color="auto"/>
              <w:left w:val="single" w:sz="4" w:space="0" w:color="auto"/>
              <w:bottom w:val="single" w:sz="4" w:space="0" w:color="auto"/>
              <w:right w:val="single" w:sz="4" w:space="0" w:color="auto"/>
            </w:tcBorders>
            <w:hideMark/>
          </w:tcPr>
          <w:p w14:paraId="053F3E9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040" w:type="dxa"/>
            <w:tcBorders>
              <w:top w:val="single" w:sz="4" w:space="0" w:color="auto"/>
              <w:left w:val="single" w:sz="4" w:space="0" w:color="auto"/>
              <w:bottom w:val="single" w:sz="4" w:space="0" w:color="auto"/>
              <w:right w:val="single" w:sz="4" w:space="0" w:color="auto"/>
            </w:tcBorders>
            <w:hideMark/>
          </w:tcPr>
          <w:p w14:paraId="66509A4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B2.mx</w:t>
            </w:r>
          </w:p>
        </w:tc>
        <w:tc>
          <w:tcPr>
            <w:tcW w:w="1025" w:type="dxa"/>
            <w:tcBorders>
              <w:top w:val="single" w:sz="4" w:space="0" w:color="auto"/>
              <w:left w:val="single" w:sz="4" w:space="0" w:color="auto"/>
              <w:bottom w:val="single" w:sz="4" w:space="0" w:color="auto"/>
              <w:right w:val="single" w:sz="4" w:space="0" w:color="auto"/>
            </w:tcBorders>
            <w:hideMark/>
          </w:tcPr>
          <w:p w14:paraId="3D3B0F20"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982" w:type="dxa"/>
            <w:tcBorders>
              <w:top w:val="single" w:sz="4" w:space="0" w:color="auto"/>
              <w:left w:val="single" w:sz="4" w:space="0" w:color="auto"/>
              <w:bottom w:val="single" w:sz="4" w:space="0" w:color="auto"/>
              <w:right w:val="single" w:sz="4" w:space="0" w:color="auto"/>
            </w:tcBorders>
            <w:hideMark/>
          </w:tcPr>
          <w:p w14:paraId="1DC0121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43" w:type="dxa"/>
            <w:tcBorders>
              <w:top w:val="single" w:sz="4" w:space="0" w:color="auto"/>
              <w:left w:val="single" w:sz="4" w:space="0" w:color="auto"/>
              <w:bottom w:val="single" w:sz="4" w:space="0" w:color="auto"/>
              <w:right w:val="single" w:sz="4" w:space="0" w:color="auto"/>
            </w:tcBorders>
            <w:hideMark/>
          </w:tcPr>
          <w:p w14:paraId="6C8309E5"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039B09F7"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23C90CB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16</w:t>
            </w:r>
          </w:p>
        </w:tc>
        <w:tc>
          <w:tcPr>
            <w:tcW w:w="980" w:type="dxa"/>
            <w:tcBorders>
              <w:top w:val="single" w:sz="4" w:space="0" w:color="auto"/>
              <w:left w:val="single" w:sz="4" w:space="0" w:color="auto"/>
              <w:bottom w:val="single" w:sz="4" w:space="0" w:color="auto"/>
              <w:right w:val="single" w:sz="4" w:space="0" w:color="auto"/>
            </w:tcBorders>
            <w:hideMark/>
          </w:tcPr>
          <w:p w14:paraId="72F8A68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mxB-</w:t>
            </w:r>
          </w:p>
        </w:tc>
        <w:tc>
          <w:tcPr>
            <w:tcW w:w="1235" w:type="dxa"/>
            <w:tcBorders>
              <w:top w:val="single" w:sz="4" w:space="0" w:color="auto"/>
              <w:left w:val="single" w:sz="4" w:space="0" w:color="auto"/>
              <w:bottom w:val="single" w:sz="4" w:space="0" w:color="auto"/>
              <w:right w:val="single" w:sz="4" w:space="0" w:color="auto"/>
            </w:tcBorders>
            <w:hideMark/>
          </w:tcPr>
          <w:p w14:paraId="481AA7F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B-(mex)</w:t>
            </w:r>
          </w:p>
        </w:tc>
        <w:tc>
          <w:tcPr>
            <w:tcW w:w="1040" w:type="dxa"/>
            <w:tcBorders>
              <w:top w:val="single" w:sz="4" w:space="0" w:color="auto"/>
              <w:left w:val="single" w:sz="4" w:space="0" w:color="auto"/>
              <w:bottom w:val="single" w:sz="4" w:space="0" w:color="auto"/>
              <w:right w:val="single" w:sz="4" w:space="0" w:color="auto"/>
            </w:tcBorders>
            <w:hideMark/>
          </w:tcPr>
          <w:p w14:paraId="41ABB8C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B3.mx</w:t>
            </w:r>
          </w:p>
        </w:tc>
        <w:tc>
          <w:tcPr>
            <w:tcW w:w="1025" w:type="dxa"/>
            <w:tcBorders>
              <w:top w:val="single" w:sz="4" w:space="0" w:color="auto"/>
              <w:left w:val="single" w:sz="4" w:space="0" w:color="auto"/>
              <w:bottom w:val="single" w:sz="4" w:space="0" w:color="auto"/>
              <w:right w:val="single" w:sz="4" w:space="0" w:color="auto"/>
            </w:tcBorders>
            <w:hideMark/>
          </w:tcPr>
          <w:p w14:paraId="73DC8DA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B-</w:t>
            </w:r>
          </w:p>
        </w:tc>
        <w:tc>
          <w:tcPr>
            <w:tcW w:w="982" w:type="dxa"/>
            <w:tcBorders>
              <w:top w:val="single" w:sz="4" w:space="0" w:color="auto"/>
              <w:left w:val="single" w:sz="4" w:space="0" w:color="auto"/>
              <w:bottom w:val="single" w:sz="4" w:space="0" w:color="auto"/>
              <w:right w:val="single" w:sz="4" w:space="0" w:color="auto"/>
            </w:tcBorders>
            <w:hideMark/>
          </w:tcPr>
          <w:p w14:paraId="6F32ED9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B-/M</w:t>
            </w:r>
          </w:p>
        </w:tc>
        <w:tc>
          <w:tcPr>
            <w:tcW w:w="2343" w:type="dxa"/>
            <w:tcBorders>
              <w:top w:val="single" w:sz="4" w:space="0" w:color="auto"/>
              <w:left w:val="single" w:sz="4" w:space="0" w:color="auto"/>
              <w:bottom w:val="single" w:sz="4" w:space="0" w:color="auto"/>
              <w:right w:val="single" w:sz="4" w:space="0" w:color="auto"/>
            </w:tcBorders>
            <w:hideMark/>
          </w:tcPr>
          <w:p w14:paraId="0FD1EDC3"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4AF3690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6DD9FE1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17</w:t>
            </w:r>
          </w:p>
        </w:tc>
        <w:tc>
          <w:tcPr>
            <w:tcW w:w="980" w:type="dxa"/>
            <w:tcBorders>
              <w:top w:val="single" w:sz="4" w:space="0" w:color="auto"/>
              <w:left w:val="single" w:sz="4" w:space="0" w:color="auto"/>
              <w:bottom w:val="single" w:sz="4" w:space="0" w:color="auto"/>
              <w:right w:val="single" w:sz="4" w:space="0" w:color="auto"/>
            </w:tcBorders>
            <w:hideMark/>
          </w:tcPr>
          <w:p w14:paraId="5EF52BB1"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mxCCC</w:t>
            </w:r>
          </w:p>
        </w:tc>
        <w:tc>
          <w:tcPr>
            <w:tcW w:w="1235" w:type="dxa"/>
            <w:tcBorders>
              <w:top w:val="single" w:sz="4" w:space="0" w:color="auto"/>
              <w:left w:val="single" w:sz="4" w:space="0" w:color="auto"/>
              <w:bottom w:val="single" w:sz="4" w:space="0" w:color="auto"/>
              <w:right w:val="single" w:sz="4" w:space="0" w:color="auto"/>
            </w:tcBorders>
            <w:hideMark/>
          </w:tcPr>
          <w:p w14:paraId="7E9A0AD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CCC(mex)</w:t>
            </w:r>
          </w:p>
        </w:tc>
        <w:tc>
          <w:tcPr>
            <w:tcW w:w="1040" w:type="dxa"/>
            <w:tcBorders>
              <w:top w:val="single" w:sz="4" w:space="0" w:color="auto"/>
              <w:left w:val="single" w:sz="4" w:space="0" w:color="auto"/>
              <w:bottom w:val="single" w:sz="4" w:space="0" w:color="auto"/>
              <w:right w:val="single" w:sz="4" w:space="0" w:color="auto"/>
            </w:tcBorders>
            <w:hideMark/>
          </w:tcPr>
          <w:p w14:paraId="769E459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Caa.mx</w:t>
            </w:r>
          </w:p>
        </w:tc>
        <w:tc>
          <w:tcPr>
            <w:tcW w:w="1025" w:type="dxa"/>
            <w:tcBorders>
              <w:top w:val="single" w:sz="4" w:space="0" w:color="auto"/>
              <w:left w:val="single" w:sz="4" w:space="0" w:color="auto"/>
              <w:bottom w:val="single" w:sz="4" w:space="0" w:color="auto"/>
              <w:right w:val="single" w:sz="4" w:space="0" w:color="auto"/>
            </w:tcBorders>
            <w:hideMark/>
          </w:tcPr>
          <w:p w14:paraId="30DFFB3C"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982" w:type="dxa"/>
            <w:tcBorders>
              <w:top w:val="single" w:sz="4" w:space="0" w:color="auto"/>
              <w:left w:val="single" w:sz="4" w:space="0" w:color="auto"/>
              <w:bottom w:val="single" w:sz="4" w:space="0" w:color="auto"/>
              <w:right w:val="single" w:sz="4" w:space="0" w:color="auto"/>
            </w:tcBorders>
          </w:tcPr>
          <w:p w14:paraId="1BB5F6C1" w14:textId="77777777" w:rsidR="00AF6ECC" w:rsidRPr="006843FF" w:rsidRDefault="00AF6ECC" w:rsidP="00682B6D">
            <w:pPr>
              <w:spacing w:line="240" w:lineRule="auto"/>
              <w:jc w:val="center"/>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14:paraId="2EC8084E"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50E5018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71149C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18</w:t>
            </w:r>
          </w:p>
        </w:tc>
        <w:tc>
          <w:tcPr>
            <w:tcW w:w="980" w:type="dxa"/>
            <w:tcBorders>
              <w:top w:val="single" w:sz="4" w:space="0" w:color="auto"/>
              <w:left w:val="single" w:sz="4" w:space="0" w:color="auto"/>
              <w:bottom w:val="single" w:sz="4" w:space="0" w:color="auto"/>
              <w:right w:val="single" w:sz="4" w:space="0" w:color="auto"/>
            </w:tcBorders>
            <w:hideMark/>
          </w:tcPr>
          <w:p w14:paraId="6D48F48B"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mxCC</w:t>
            </w:r>
          </w:p>
        </w:tc>
        <w:tc>
          <w:tcPr>
            <w:tcW w:w="1235" w:type="dxa"/>
            <w:tcBorders>
              <w:top w:val="single" w:sz="4" w:space="0" w:color="auto"/>
              <w:left w:val="single" w:sz="4" w:space="0" w:color="auto"/>
              <w:bottom w:val="single" w:sz="4" w:space="0" w:color="auto"/>
              <w:right w:val="single" w:sz="4" w:space="0" w:color="auto"/>
            </w:tcBorders>
            <w:hideMark/>
          </w:tcPr>
          <w:p w14:paraId="22DA65D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CC(mex)</w:t>
            </w:r>
          </w:p>
        </w:tc>
        <w:tc>
          <w:tcPr>
            <w:tcW w:w="1040" w:type="dxa"/>
            <w:tcBorders>
              <w:top w:val="single" w:sz="4" w:space="0" w:color="auto"/>
              <w:left w:val="single" w:sz="4" w:space="0" w:color="auto"/>
              <w:bottom w:val="single" w:sz="4" w:space="0" w:color="auto"/>
              <w:right w:val="single" w:sz="4" w:space="0" w:color="auto"/>
            </w:tcBorders>
            <w:hideMark/>
          </w:tcPr>
          <w:p w14:paraId="2F80DD5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Ca.mx</w:t>
            </w:r>
          </w:p>
        </w:tc>
        <w:tc>
          <w:tcPr>
            <w:tcW w:w="1025" w:type="dxa"/>
            <w:tcBorders>
              <w:top w:val="single" w:sz="4" w:space="0" w:color="auto"/>
              <w:left w:val="single" w:sz="4" w:space="0" w:color="auto"/>
              <w:bottom w:val="single" w:sz="4" w:space="0" w:color="auto"/>
              <w:right w:val="single" w:sz="4" w:space="0" w:color="auto"/>
            </w:tcBorders>
            <w:hideMark/>
          </w:tcPr>
          <w:p w14:paraId="7DB91BD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982" w:type="dxa"/>
            <w:tcBorders>
              <w:top w:val="single" w:sz="4" w:space="0" w:color="auto"/>
              <w:left w:val="single" w:sz="4" w:space="0" w:color="auto"/>
              <w:bottom w:val="single" w:sz="4" w:space="0" w:color="auto"/>
              <w:right w:val="single" w:sz="4" w:space="0" w:color="auto"/>
            </w:tcBorders>
          </w:tcPr>
          <w:p w14:paraId="416DE5E4" w14:textId="77777777" w:rsidR="00AF6ECC" w:rsidRPr="006843FF" w:rsidRDefault="00AF6ECC" w:rsidP="00682B6D">
            <w:pPr>
              <w:spacing w:line="240" w:lineRule="auto"/>
              <w:jc w:val="center"/>
              <w:rPr>
                <w:rFonts w:asciiTheme="minorHAnsi" w:hAnsiTheme="minorHAnsi" w:cstheme="minorHAnsi"/>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14:paraId="30192D20"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5CCF88C9"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C78C79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19</w:t>
            </w:r>
          </w:p>
        </w:tc>
        <w:tc>
          <w:tcPr>
            <w:tcW w:w="980" w:type="dxa"/>
            <w:tcBorders>
              <w:top w:val="single" w:sz="4" w:space="0" w:color="auto"/>
              <w:left w:val="single" w:sz="4" w:space="0" w:color="auto"/>
              <w:bottom w:val="single" w:sz="4" w:space="0" w:color="auto"/>
              <w:right w:val="single" w:sz="4" w:space="0" w:color="auto"/>
            </w:tcBorders>
            <w:hideMark/>
          </w:tcPr>
          <w:p w14:paraId="408E28D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mxC</w:t>
            </w:r>
          </w:p>
        </w:tc>
        <w:tc>
          <w:tcPr>
            <w:tcW w:w="1235" w:type="dxa"/>
            <w:tcBorders>
              <w:top w:val="single" w:sz="4" w:space="0" w:color="auto"/>
              <w:left w:val="single" w:sz="4" w:space="0" w:color="auto"/>
              <w:bottom w:val="single" w:sz="4" w:space="0" w:color="auto"/>
              <w:right w:val="single" w:sz="4" w:space="0" w:color="auto"/>
            </w:tcBorders>
            <w:hideMark/>
          </w:tcPr>
          <w:p w14:paraId="28C1046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C(mex)</w:t>
            </w:r>
          </w:p>
        </w:tc>
        <w:tc>
          <w:tcPr>
            <w:tcW w:w="1040" w:type="dxa"/>
            <w:tcBorders>
              <w:top w:val="single" w:sz="4" w:space="0" w:color="auto"/>
              <w:left w:val="single" w:sz="4" w:space="0" w:color="auto"/>
              <w:bottom w:val="single" w:sz="4" w:space="0" w:color="auto"/>
              <w:right w:val="single" w:sz="4" w:space="0" w:color="auto"/>
            </w:tcBorders>
            <w:hideMark/>
          </w:tcPr>
          <w:p w14:paraId="0FD22CB9"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C.mx</w:t>
            </w:r>
          </w:p>
        </w:tc>
        <w:tc>
          <w:tcPr>
            <w:tcW w:w="1025" w:type="dxa"/>
            <w:tcBorders>
              <w:top w:val="single" w:sz="4" w:space="0" w:color="auto"/>
              <w:left w:val="single" w:sz="4" w:space="0" w:color="auto"/>
              <w:bottom w:val="single" w:sz="4" w:space="0" w:color="auto"/>
              <w:right w:val="single" w:sz="4" w:space="0" w:color="auto"/>
            </w:tcBorders>
            <w:hideMark/>
          </w:tcPr>
          <w:p w14:paraId="0D0A781F"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C-</w:t>
            </w:r>
          </w:p>
        </w:tc>
        <w:tc>
          <w:tcPr>
            <w:tcW w:w="982" w:type="dxa"/>
            <w:tcBorders>
              <w:top w:val="single" w:sz="4" w:space="0" w:color="auto"/>
              <w:left w:val="single" w:sz="4" w:space="0" w:color="auto"/>
              <w:bottom w:val="single" w:sz="4" w:space="0" w:color="auto"/>
              <w:right w:val="single" w:sz="4" w:space="0" w:color="auto"/>
            </w:tcBorders>
            <w:hideMark/>
          </w:tcPr>
          <w:p w14:paraId="65AEF89A"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C/M</w:t>
            </w:r>
          </w:p>
        </w:tc>
        <w:tc>
          <w:tcPr>
            <w:tcW w:w="2343" w:type="dxa"/>
            <w:tcBorders>
              <w:top w:val="single" w:sz="4" w:space="0" w:color="auto"/>
              <w:left w:val="single" w:sz="4" w:space="0" w:color="auto"/>
              <w:bottom w:val="single" w:sz="4" w:space="0" w:color="auto"/>
              <w:right w:val="single" w:sz="4" w:space="0" w:color="auto"/>
            </w:tcBorders>
            <w:hideMark/>
          </w:tcPr>
          <w:p w14:paraId="048426C2"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45CFC85F"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20BF7C96"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20</w:t>
            </w:r>
          </w:p>
        </w:tc>
        <w:tc>
          <w:tcPr>
            <w:tcW w:w="980" w:type="dxa"/>
            <w:tcBorders>
              <w:top w:val="single" w:sz="4" w:space="0" w:color="auto"/>
              <w:left w:val="single" w:sz="4" w:space="0" w:color="auto"/>
              <w:bottom w:val="single" w:sz="4" w:space="0" w:color="auto"/>
              <w:right w:val="single" w:sz="4" w:space="0" w:color="auto"/>
            </w:tcBorders>
            <w:hideMark/>
          </w:tcPr>
          <w:p w14:paraId="6D1B39BE"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mxD</w:t>
            </w:r>
          </w:p>
        </w:tc>
        <w:tc>
          <w:tcPr>
            <w:tcW w:w="1235" w:type="dxa"/>
            <w:tcBorders>
              <w:top w:val="single" w:sz="4" w:space="0" w:color="auto"/>
              <w:left w:val="single" w:sz="4" w:space="0" w:color="auto"/>
              <w:bottom w:val="single" w:sz="4" w:space="0" w:color="auto"/>
              <w:right w:val="single" w:sz="4" w:space="0" w:color="auto"/>
            </w:tcBorders>
            <w:hideMark/>
          </w:tcPr>
          <w:p w14:paraId="48831127"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D(mex)</w:t>
            </w:r>
          </w:p>
        </w:tc>
        <w:tc>
          <w:tcPr>
            <w:tcW w:w="1040" w:type="dxa"/>
            <w:tcBorders>
              <w:top w:val="single" w:sz="4" w:space="0" w:color="auto"/>
              <w:left w:val="single" w:sz="4" w:space="0" w:color="auto"/>
              <w:bottom w:val="single" w:sz="4" w:space="0" w:color="auto"/>
              <w:right w:val="single" w:sz="4" w:space="0" w:color="auto"/>
            </w:tcBorders>
          </w:tcPr>
          <w:p w14:paraId="6735EAFE" w14:textId="77777777" w:rsidR="00AF6ECC" w:rsidRPr="006843FF" w:rsidRDefault="00AF6ECC" w:rsidP="00682B6D">
            <w:pPr>
              <w:spacing w:line="240" w:lineRule="auto"/>
              <w:jc w:val="center"/>
              <w:rPr>
                <w:rFonts w:asciiTheme="minorHAnsi" w:hAnsiTheme="minorHAnsi" w:cstheme="minorHAnsi"/>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14:paraId="1A850CB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HR D</w:t>
            </w:r>
          </w:p>
        </w:tc>
        <w:tc>
          <w:tcPr>
            <w:tcW w:w="982" w:type="dxa"/>
            <w:tcBorders>
              <w:top w:val="single" w:sz="4" w:space="0" w:color="auto"/>
              <w:left w:val="single" w:sz="4" w:space="0" w:color="auto"/>
              <w:bottom w:val="single" w:sz="4" w:space="0" w:color="auto"/>
              <w:right w:val="single" w:sz="4" w:space="0" w:color="auto"/>
            </w:tcBorders>
            <w:hideMark/>
          </w:tcPr>
          <w:p w14:paraId="7D454DF2"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D/M</w:t>
            </w:r>
          </w:p>
        </w:tc>
        <w:tc>
          <w:tcPr>
            <w:tcW w:w="2343" w:type="dxa"/>
            <w:tcBorders>
              <w:top w:val="single" w:sz="4" w:space="0" w:color="auto"/>
              <w:left w:val="single" w:sz="4" w:space="0" w:color="auto"/>
              <w:bottom w:val="single" w:sz="4" w:space="0" w:color="auto"/>
              <w:right w:val="single" w:sz="4" w:space="0" w:color="auto"/>
            </w:tcBorders>
            <w:hideMark/>
          </w:tcPr>
          <w:p w14:paraId="66CC4714"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6A1D378D"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4F46B2E3"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21</w:t>
            </w:r>
          </w:p>
        </w:tc>
        <w:tc>
          <w:tcPr>
            <w:tcW w:w="980" w:type="dxa"/>
            <w:tcBorders>
              <w:top w:val="single" w:sz="4" w:space="0" w:color="auto"/>
              <w:left w:val="single" w:sz="4" w:space="0" w:color="auto"/>
              <w:bottom w:val="single" w:sz="4" w:space="0" w:color="auto"/>
              <w:right w:val="single" w:sz="4" w:space="0" w:color="auto"/>
            </w:tcBorders>
          </w:tcPr>
          <w:p w14:paraId="66498827" w14:textId="77777777" w:rsidR="00AF6ECC" w:rsidRPr="006843FF" w:rsidRDefault="00AF6ECC" w:rsidP="00682B6D">
            <w:pPr>
              <w:spacing w:line="240" w:lineRule="auto"/>
              <w:jc w:val="center"/>
              <w:rPr>
                <w:rFonts w:asciiTheme="minorHAnsi" w:hAnsiTheme="minorHAnsi" w:cstheme="minorHAnsi"/>
                <w:sz w:val="22"/>
                <w:szCs w:val="22"/>
              </w:rPr>
            </w:pPr>
          </w:p>
        </w:tc>
        <w:tc>
          <w:tcPr>
            <w:tcW w:w="1235" w:type="dxa"/>
            <w:tcBorders>
              <w:top w:val="single" w:sz="4" w:space="0" w:color="auto"/>
              <w:left w:val="single" w:sz="4" w:space="0" w:color="auto"/>
              <w:bottom w:val="single" w:sz="4" w:space="0" w:color="auto"/>
              <w:right w:val="single" w:sz="4" w:space="0" w:color="auto"/>
            </w:tcBorders>
            <w:hideMark/>
          </w:tcPr>
          <w:p w14:paraId="2DF92A45"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E(mex)</w:t>
            </w:r>
          </w:p>
        </w:tc>
        <w:tc>
          <w:tcPr>
            <w:tcW w:w="1040" w:type="dxa"/>
            <w:tcBorders>
              <w:top w:val="single" w:sz="4" w:space="0" w:color="auto"/>
              <w:left w:val="single" w:sz="4" w:space="0" w:color="auto"/>
              <w:bottom w:val="single" w:sz="4" w:space="0" w:color="auto"/>
              <w:right w:val="single" w:sz="4" w:space="0" w:color="auto"/>
            </w:tcBorders>
          </w:tcPr>
          <w:p w14:paraId="4AD75456" w14:textId="77777777" w:rsidR="00AF6ECC" w:rsidRPr="006843FF" w:rsidRDefault="00AF6ECC" w:rsidP="00682B6D">
            <w:pPr>
              <w:spacing w:line="240" w:lineRule="auto"/>
              <w:jc w:val="center"/>
              <w:rPr>
                <w:rFonts w:asciiTheme="minorHAnsi" w:hAnsiTheme="minorHAnsi" w:cstheme="minorHAnsi"/>
                <w:sz w:val="22"/>
                <w:szCs w:val="22"/>
              </w:rPr>
            </w:pPr>
          </w:p>
        </w:tc>
        <w:tc>
          <w:tcPr>
            <w:tcW w:w="1025" w:type="dxa"/>
            <w:tcBorders>
              <w:top w:val="single" w:sz="4" w:space="0" w:color="auto"/>
              <w:left w:val="single" w:sz="4" w:space="0" w:color="auto"/>
              <w:bottom w:val="single" w:sz="4" w:space="0" w:color="auto"/>
              <w:right w:val="single" w:sz="4" w:space="0" w:color="auto"/>
            </w:tcBorders>
          </w:tcPr>
          <w:p w14:paraId="41CB34B8" w14:textId="77777777" w:rsidR="00AF6ECC" w:rsidRPr="006843FF" w:rsidRDefault="00AF6ECC" w:rsidP="00682B6D">
            <w:pPr>
              <w:spacing w:line="240" w:lineRule="auto"/>
              <w:jc w:val="center"/>
              <w:rPr>
                <w:rFonts w:asciiTheme="minorHAnsi" w:hAnsiTheme="minorHAnsi" w:cstheme="minorHAnsi"/>
                <w:sz w:val="22"/>
                <w:szCs w:val="22"/>
              </w:rPr>
            </w:pPr>
          </w:p>
        </w:tc>
        <w:tc>
          <w:tcPr>
            <w:tcW w:w="982" w:type="dxa"/>
            <w:tcBorders>
              <w:top w:val="single" w:sz="4" w:space="0" w:color="auto"/>
              <w:left w:val="single" w:sz="4" w:space="0" w:color="auto"/>
              <w:bottom w:val="single" w:sz="4" w:space="0" w:color="auto"/>
              <w:right w:val="single" w:sz="4" w:space="0" w:color="auto"/>
            </w:tcBorders>
            <w:hideMark/>
          </w:tcPr>
          <w:p w14:paraId="2BB249A4" w14:textId="77777777" w:rsidR="00AF6ECC" w:rsidRPr="006843FF" w:rsidRDefault="00AF6ECC" w:rsidP="00682B6D">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E/M</w:t>
            </w:r>
          </w:p>
        </w:tc>
        <w:tc>
          <w:tcPr>
            <w:tcW w:w="2343" w:type="dxa"/>
            <w:tcBorders>
              <w:top w:val="single" w:sz="4" w:space="0" w:color="auto"/>
              <w:left w:val="single" w:sz="4" w:space="0" w:color="auto"/>
              <w:bottom w:val="single" w:sz="4" w:space="0" w:color="auto"/>
              <w:right w:val="single" w:sz="4" w:space="0" w:color="auto"/>
            </w:tcBorders>
            <w:hideMark/>
          </w:tcPr>
          <w:p w14:paraId="71BFE766" w14:textId="77777777" w:rsidR="00AF6ECC" w:rsidRPr="006843FF" w:rsidRDefault="00AF6ECC" w:rsidP="00682B6D">
            <w:pPr>
              <w:spacing w:line="240" w:lineRule="auto"/>
              <w:jc w:val="center"/>
              <w:rPr>
                <w:rFonts w:asciiTheme="minorHAnsi" w:hAnsiTheme="minorHAnsi" w:cstheme="minorHAnsi"/>
                <w:b/>
                <w:sz w:val="22"/>
                <w:szCs w:val="22"/>
              </w:rPr>
            </w:pPr>
            <w:r w:rsidRPr="00086C3D">
              <w:rPr>
                <w:rFonts w:asciiTheme="minorHAnsi" w:hAnsiTheme="minorHAnsi" w:cstheme="minorHAnsi"/>
                <w:sz w:val="22"/>
                <w:szCs w:val="22"/>
              </w:rPr>
              <w:t>[•] PB</w:t>
            </w:r>
          </w:p>
        </w:tc>
      </w:tr>
      <w:tr w:rsidR="00AF6ECC" w:rsidRPr="006843FF" w14:paraId="02699AD7" w14:textId="77777777" w:rsidTr="00682B6D">
        <w:trPr>
          <w:jc w:val="center"/>
        </w:trPr>
        <w:tc>
          <w:tcPr>
            <w:tcW w:w="889" w:type="dxa"/>
            <w:tcBorders>
              <w:top w:val="single" w:sz="4" w:space="0" w:color="auto"/>
              <w:left w:val="single" w:sz="4" w:space="0" w:color="auto"/>
              <w:bottom w:val="single" w:sz="4" w:space="0" w:color="auto"/>
              <w:right w:val="single" w:sz="4" w:space="0" w:color="auto"/>
            </w:tcBorders>
            <w:hideMark/>
          </w:tcPr>
          <w:p w14:paraId="7DE91408"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22</w:t>
            </w:r>
          </w:p>
        </w:tc>
        <w:tc>
          <w:tcPr>
            <w:tcW w:w="5262" w:type="dxa"/>
            <w:gridSpan w:val="5"/>
            <w:tcBorders>
              <w:top w:val="single" w:sz="4" w:space="0" w:color="auto"/>
              <w:left w:val="single" w:sz="4" w:space="0" w:color="auto"/>
              <w:bottom w:val="single" w:sz="4" w:space="0" w:color="auto"/>
              <w:right w:val="single" w:sz="4" w:space="0" w:color="auto"/>
            </w:tcBorders>
            <w:hideMark/>
          </w:tcPr>
          <w:p w14:paraId="71B261C0"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t>No calificado</w:t>
            </w:r>
          </w:p>
        </w:tc>
        <w:tc>
          <w:tcPr>
            <w:tcW w:w="2343" w:type="dxa"/>
            <w:tcBorders>
              <w:top w:val="single" w:sz="4" w:space="0" w:color="auto"/>
              <w:left w:val="single" w:sz="4" w:space="0" w:color="auto"/>
              <w:bottom w:val="single" w:sz="4" w:space="0" w:color="auto"/>
              <w:right w:val="single" w:sz="4" w:space="0" w:color="auto"/>
            </w:tcBorders>
            <w:hideMark/>
          </w:tcPr>
          <w:p w14:paraId="635D03DA" w14:textId="77777777" w:rsidR="00AF6ECC" w:rsidRPr="006843FF" w:rsidRDefault="00AF6ECC" w:rsidP="00682B6D">
            <w:pPr>
              <w:spacing w:line="240" w:lineRule="auto"/>
              <w:jc w:val="center"/>
              <w:rPr>
                <w:rFonts w:asciiTheme="minorHAnsi" w:hAnsiTheme="minorHAnsi" w:cstheme="minorHAnsi"/>
                <w:b/>
                <w:sz w:val="22"/>
                <w:szCs w:val="22"/>
              </w:rPr>
            </w:pPr>
            <w:r w:rsidRPr="006843FF">
              <w:rPr>
                <w:rFonts w:asciiTheme="minorHAnsi" w:hAnsiTheme="minorHAnsi" w:cstheme="minorHAnsi"/>
                <w:sz w:val="22"/>
                <w:szCs w:val="22"/>
              </w:rPr>
              <w:t>[•] %</w:t>
            </w:r>
          </w:p>
        </w:tc>
      </w:tr>
    </w:tbl>
    <w:p w14:paraId="2865D903" w14:textId="77777777" w:rsidR="00AF6ECC" w:rsidRPr="006843FF" w:rsidRDefault="00AF6ECC" w:rsidP="00AF6ECC">
      <w:pPr>
        <w:spacing w:line="240" w:lineRule="auto"/>
        <w:rPr>
          <w:rFonts w:asciiTheme="minorHAnsi" w:hAnsiTheme="minorHAnsi" w:cstheme="minorHAnsi"/>
          <w:sz w:val="22"/>
          <w:szCs w:val="22"/>
          <w:lang w:val="es-MX"/>
        </w:rPr>
      </w:pPr>
    </w:p>
    <w:p w14:paraId="0D8F7944" w14:textId="77777777" w:rsidR="007C093B" w:rsidRDefault="007C093B">
      <w:pPr>
        <w:spacing w:after="160" w:line="259" w:lineRule="auto"/>
        <w:jc w:val="left"/>
        <w:rPr>
          <w:rFonts w:asciiTheme="minorHAnsi" w:hAnsiTheme="minorHAnsi" w:cstheme="minorHAnsi"/>
          <w:b/>
          <w:sz w:val="22"/>
          <w:szCs w:val="22"/>
        </w:rPr>
      </w:pPr>
      <w:r>
        <w:rPr>
          <w:rFonts w:asciiTheme="minorHAnsi" w:hAnsiTheme="minorHAnsi" w:cstheme="minorHAnsi"/>
          <w:b/>
          <w:sz w:val="22"/>
          <w:szCs w:val="22"/>
        </w:rPr>
        <w:br w:type="page"/>
      </w:r>
    </w:p>
    <w:p w14:paraId="664316B1" w14:textId="1B790A5E" w:rsidR="00AF6ECC" w:rsidRPr="006843FF" w:rsidRDefault="00AF6ECC" w:rsidP="00AF6ECC">
      <w:pPr>
        <w:spacing w:line="240" w:lineRule="auto"/>
        <w:jc w:val="center"/>
        <w:rPr>
          <w:rFonts w:asciiTheme="minorHAnsi" w:hAnsiTheme="minorHAnsi" w:cstheme="minorHAnsi"/>
          <w:b/>
          <w:sz w:val="22"/>
          <w:szCs w:val="22"/>
        </w:rPr>
      </w:pPr>
      <w:r w:rsidRPr="006843FF">
        <w:rPr>
          <w:rFonts w:asciiTheme="minorHAnsi" w:hAnsiTheme="minorHAnsi" w:cstheme="minorHAnsi"/>
          <w:b/>
          <w:sz w:val="22"/>
          <w:szCs w:val="22"/>
        </w:rPr>
        <w:lastRenderedPageBreak/>
        <w:t>Otros términos y condiciones de la Oferta de GPO</w:t>
      </w:r>
    </w:p>
    <w:p w14:paraId="36CA6389" w14:textId="77777777" w:rsidR="00AF6ECC" w:rsidRPr="006843FF" w:rsidRDefault="00AF6ECC" w:rsidP="00AF6ECC">
      <w:pPr>
        <w:spacing w:line="240" w:lineRule="auto"/>
        <w:jc w:val="center"/>
        <w:rPr>
          <w:rFonts w:asciiTheme="minorHAnsi" w:hAnsiTheme="minorHAnsi" w:cstheme="minorHAnsi"/>
          <w:i/>
          <w:sz w:val="22"/>
          <w:szCs w:val="22"/>
        </w:rPr>
      </w:pPr>
      <w:r w:rsidRPr="006843FF">
        <w:rPr>
          <w:rFonts w:asciiTheme="minorHAnsi" w:hAnsiTheme="minorHAnsi" w:cstheme="minorHAnsi"/>
          <w:i/>
          <w:sz w:val="22"/>
          <w:szCs w:val="22"/>
        </w:rPr>
        <w:t xml:space="preserve">[este apartado </w:t>
      </w:r>
      <w:r w:rsidRPr="006843FF">
        <w:rPr>
          <w:rFonts w:asciiTheme="minorHAnsi" w:hAnsiTheme="minorHAnsi" w:cstheme="minorHAnsi"/>
          <w:i/>
          <w:sz w:val="22"/>
          <w:szCs w:val="22"/>
          <w:u w:val="single"/>
        </w:rPr>
        <w:t>no puede ser modificado</w:t>
      </w:r>
      <w:r w:rsidRPr="006843FF">
        <w:rPr>
          <w:rFonts w:asciiTheme="minorHAnsi" w:hAnsiTheme="minorHAnsi" w:cstheme="minorHAnsi"/>
          <w:i/>
          <w:sz w:val="22"/>
          <w:szCs w:val="22"/>
        </w:rPr>
        <w:t xml:space="preserve"> por el Licitante]</w:t>
      </w:r>
    </w:p>
    <w:p w14:paraId="0D595371" w14:textId="77777777" w:rsidR="00AF6ECC" w:rsidRPr="006843FF" w:rsidRDefault="00AF6ECC" w:rsidP="00AF6ECC">
      <w:pPr>
        <w:spacing w:line="240" w:lineRule="auto"/>
        <w:jc w:val="center"/>
        <w:rPr>
          <w:rFonts w:asciiTheme="minorHAnsi" w:hAnsiTheme="minorHAnsi" w:cstheme="minorHAnsi"/>
          <w:b/>
          <w:sz w:val="22"/>
          <w:szCs w:val="22"/>
        </w:rPr>
      </w:pPr>
    </w:p>
    <w:tbl>
      <w:tblPr>
        <w:tblStyle w:val="Tablaconcuadrcula"/>
        <w:tblW w:w="0" w:type="auto"/>
        <w:tblInd w:w="-5" w:type="dxa"/>
        <w:tblLook w:val="04A0" w:firstRow="1" w:lastRow="0" w:firstColumn="1" w:lastColumn="0" w:noHBand="0" w:noVBand="1"/>
      </w:tblPr>
      <w:tblGrid>
        <w:gridCol w:w="2694"/>
        <w:gridCol w:w="5805"/>
      </w:tblGrid>
      <w:tr w:rsidR="00AF6ECC" w:rsidRPr="006843FF" w14:paraId="31125D99" w14:textId="77777777" w:rsidTr="00682B6D">
        <w:tc>
          <w:tcPr>
            <w:tcW w:w="2694" w:type="dxa"/>
            <w:tcBorders>
              <w:top w:val="single" w:sz="4" w:space="0" w:color="auto"/>
              <w:left w:val="single" w:sz="4" w:space="0" w:color="auto"/>
              <w:bottom w:val="single" w:sz="4" w:space="0" w:color="auto"/>
              <w:right w:val="single" w:sz="4" w:space="0" w:color="auto"/>
            </w:tcBorders>
          </w:tcPr>
          <w:p w14:paraId="36E2D345"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Tipo de garantía:</w:t>
            </w:r>
          </w:p>
          <w:p w14:paraId="36CFC0E7"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5B2838A8" w14:textId="2322AD02" w:rsidR="00AF6ECC" w:rsidRPr="006843FF" w:rsidRDefault="00AF6ECC" w:rsidP="00682B6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Contrato de garantía parcial, de pago oportuno, incondicional, irrevocable y no revolvente, que dé cobertura a los Contratos de Crédito con Garantía a plazo de </w:t>
            </w:r>
            <w:r>
              <w:rPr>
                <w:rFonts w:asciiTheme="minorHAnsi" w:hAnsiTheme="minorHAnsi" w:cstheme="minorHAnsi"/>
                <w:sz w:val="22"/>
                <w:szCs w:val="22"/>
                <w:lang w:val="es-MX"/>
              </w:rPr>
              <w:t>240 (doscientos cuarenta) meses</w:t>
            </w:r>
            <w:r w:rsidRPr="006843FF">
              <w:rPr>
                <w:rFonts w:asciiTheme="minorHAnsi" w:hAnsiTheme="minorHAnsi" w:cstheme="minorHAnsi"/>
                <w:sz w:val="22"/>
                <w:szCs w:val="22"/>
                <w:lang w:val="es-MX"/>
              </w:rPr>
              <w:t xml:space="preserve">, que se suscriban como resultado de la Licitación Pública. </w:t>
            </w:r>
          </w:p>
        </w:tc>
      </w:tr>
      <w:tr w:rsidR="00AF6ECC" w:rsidRPr="006843FF" w14:paraId="57312E7B" w14:textId="77777777" w:rsidTr="00682B6D">
        <w:tc>
          <w:tcPr>
            <w:tcW w:w="2694" w:type="dxa"/>
            <w:tcBorders>
              <w:top w:val="single" w:sz="4" w:space="0" w:color="auto"/>
              <w:left w:val="single" w:sz="4" w:space="0" w:color="auto"/>
              <w:bottom w:val="single" w:sz="4" w:space="0" w:color="auto"/>
              <w:right w:val="single" w:sz="4" w:space="0" w:color="auto"/>
            </w:tcBorders>
          </w:tcPr>
          <w:p w14:paraId="289D84E2"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Obligaciones Garantizadas</w:t>
            </w:r>
          </w:p>
          <w:p w14:paraId="3DFFA4D3"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1362FA83" w14:textId="0453F4B4" w:rsidR="00AF6ECC" w:rsidRPr="006843FF" w:rsidRDefault="00AF6ECC" w:rsidP="00682B6D">
            <w:pPr>
              <w:spacing w:line="240" w:lineRule="auto"/>
              <w:rPr>
                <w:rFonts w:asciiTheme="minorHAnsi" w:hAnsiTheme="minorHAnsi" w:cstheme="minorHAnsi"/>
                <w:sz w:val="22"/>
                <w:szCs w:val="22"/>
                <w:lang w:val="es-MX"/>
              </w:rPr>
            </w:pPr>
            <w:r>
              <w:rPr>
                <w:rFonts w:asciiTheme="minorHAnsi" w:hAnsiTheme="minorHAnsi" w:cstheme="minorHAnsi"/>
                <w:sz w:val="22"/>
                <w:szCs w:val="22"/>
                <w:lang w:val="es-MX"/>
              </w:rPr>
              <w:t>L</w:t>
            </w:r>
            <w:r w:rsidRPr="006843FF">
              <w:rPr>
                <w:rFonts w:asciiTheme="minorHAnsi" w:hAnsiTheme="minorHAnsi" w:cstheme="minorHAnsi"/>
                <w:sz w:val="22"/>
                <w:szCs w:val="22"/>
                <w:lang w:val="es-MX"/>
              </w:rPr>
              <w:t xml:space="preserve">as sumas de principal e intereses ordinarios pagaderas por el Estado, ya sea en las fechas programadas para su pago o cuando éstas venzan en forma anticipada, de conformidad con los términos y condiciones del o de los Créditos Garantizados, sin incluir importes por concepto de: </w:t>
            </w:r>
            <w:r w:rsidRPr="009B2546">
              <w:rPr>
                <w:rFonts w:asciiTheme="minorHAnsi" w:hAnsiTheme="minorHAnsi" w:cstheme="minorHAnsi"/>
                <w:i/>
                <w:iCs/>
                <w:sz w:val="22"/>
                <w:szCs w:val="22"/>
                <w:lang w:val="es-MX"/>
              </w:rPr>
              <w:t>(i)</w:t>
            </w:r>
            <w:r w:rsidRPr="006843FF">
              <w:rPr>
                <w:rFonts w:asciiTheme="minorHAnsi" w:hAnsiTheme="minorHAnsi" w:cstheme="minorHAnsi"/>
                <w:sz w:val="22"/>
                <w:szCs w:val="22"/>
                <w:lang w:val="es-MX"/>
              </w:rPr>
              <w:t xml:space="preserve"> pagos anticipados voluntarios, ni primas y/o comisiones y/o penalizaciones que deriven de éstos; </w:t>
            </w:r>
            <w:r w:rsidRPr="009B2546">
              <w:rPr>
                <w:rFonts w:asciiTheme="minorHAnsi" w:hAnsiTheme="minorHAnsi" w:cstheme="minorHAnsi"/>
                <w:i/>
                <w:iCs/>
                <w:sz w:val="22"/>
                <w:szCs w:val="22"/>
                <w:lang w:val="es-MX"/>
              </w:rPr>
              <w:t>(ii)</w:t>
            </w:r>
            <w:r w:rsidRPr="006843FF">
              <w:rPr>
                <w:rFonts w:asciiTheme="minorHAnsi" w:hAnsiTheme="minorHAnsi" w:cstheme="minorHAnsi"/>
                <w:sz w:val="22"/>
                <w:szCs w:val="22"/>
                <w:lang w:val="es-MX"/>
              </w:rPr>
              <w:t xml:space="preserve"> comisiones; </w:t>
            </w:r>
            <w:r w:rsidRPr="009B2546">
              <w:rPr>
                <w:rFonts w:asciiTheme="minorHAnsi" w:hAnsiTheme="minorHAnsi" w:cstheme="minorHAnsi"/>
                <w:i/>
                <w:iCs/>
                <w:sz w:val="22"/>
                <w:szCs w:val="22"/>
                <w:lang w:val="es-MX"/>
              </w:rPr>
              <w:t>(iii)</w:t>
            </w:r>
            <w:r w:rsidRPr="006843FF">
              <w:rPr>
                <w:rFonts w:asciiTheme="minorHAnsi" w:hAnsiTheme="minorHAnsi" w:cstheme="minorHAnsi"/>
                <w:sz w:val="22"/>
                <w:szCs w:val="22"/>
                <w:lang w:val="es-MX"/>
              </w:rPr>
              <w:t xml:space="preserve"> intereses moratorios; </w:t>
            </w:r>
            <w:r w:rsidRPr="009B2546">
              <w:rPr>
                <w:rFonts w:asciiTheme="minorHAnsi" w:hAnsiTheme="minorHAnsi" w:cstheme="minorHAnsi"/>
                <w:i/>
                <w:iCs/>
                <w:sz w:val="22"/>
                <w:szCs w:val="22"/>
                <w:lang w:val="es-MX"/>
              </w:rPr>
              <w:t>(iv)</w:t>
            </w:r>
            <w:r w:rsidRPr="006843FF">
              <w:rPr>
                <w:rFonts w:asciiTheme="minorHAnsi" w:hAnsiTheme="minorHAnsi" w:cstheme="minorHAnsi"/>
                <w:sz w:val="22"/>
                <w:szCs w:val="22"/>
                <w:lang w:val="es-MX"/>
              </w:rPr>
              <w:t xml:space="preserve"> retenciones de impuestos, o </w:t>
            </w:r>
            <w:r w:rsidRPr="009B2546">
              <w:rPr>
                <w:rFonts w:asciiTheme="minorHAnsi" w:hAnsiTheme="minorHAnsi" w:cstheme="minorHAnsi"/>
                <w:i/>
                <w:iCs/>
                <w:sz w:val="22"/>
                <w:szCs w:val="22"/>
                <w:lang w:val="es-MX"/>
              </w:rPr>
              <w:t>(v)</w:t>
            </w:r>
            <w:r w:rsidRPr="006843FF">
              <w:rPr>
                <w:rFonts w:asciiTheme="minorHAnsi" w:hAnsiTheme="minorHAnsi" w:cstheme="minorHAnsi"/>
                <w:sz w:val="22"/>
                <w:szCs w:val="22"/>
                <w:lang w:val="es-MX"/>
              </w:rPr>
              <w:t xml:space="preserve"> cualesquiera otras cantidades distintas a las sumas de principal e intereses ordinarios pagaderas por el Estado, que pudieran estar incluidas en los contratos respectivos.</w:t>
            </w:r>
          </w:p>
        </w:tc>
      </w:tr>
      <w:tr w:rsidR="00AF6ECC" w:rsidRPr="006843FF" w14:paraId="2900541C" w14:textId="77777777" w:rsidTr="00682B6D">
        <w:tc>
          <w:tcPr>
            <w:tcW w:w="2694" w:type="dxa"/>
            <w:tcBorders>
              <w:top w:val="single" w:sz="4" w:space="0" w:color="auto"/>
              <w:left w:val="single" w:sz="4" w:space="0" w:color="auto"/>
              <w:bottom w:val="single" w:sz="4" w:space="0" w:color="auto"/>
              <w:right w:val="single" w:sz="4" w:space="0" w:color="auto"/>
            </w:tcBorders>
          </w:tcPr>
          <w:p w14:paraId="14D11C0C" w14:textId="77777777" w:rsidR="00AF6ECC" w:rsidRPr="006843FF" w:rsidRDefault="00AF6ECC" w:rsidP="00682B6D">
            <w:pPr>
              <w:spacing w:line="240" w:lineRule="auto"/>
              <w:rPr>
                <w:rFonts w:asciiTheme="minorHAnsi" w:hAnsiTheme="minorHAnsi" w:cstheme="minorHAnsi"/>
                <w:b/>
                <w:bCs/>
                <w:sz w:val="22"/>
                <w:szCs w:val="22"/>
                <w:lang w:val="es-MX"/>
              </w:rPr>
            </w:pPr>
            <w:r w:rsidRPr="006843FF">
              <w:rPr>
                <w:rFonts w:asciiTheme="minorHAnsi" w:hAnsiTheme="minorHAnsi" w:cstheme="minorHAnsi"/>
                <w:b/>
                <w:bCs/>
                <w:sz w:val="22"/>
                <w:szCs w:val="22"/>
              </w:rPr>
              <w:t>M</w:t>
            </w:r>
            <w:r w:rsidRPr="006843FF">
              <w:rPr>
                <w:rFonts w:asciiTheme="minorHAnsi" w:hAnsiTheme="minorHAnsi" w:cstheme="minorHAnsi"/>
                <w:b/>
                <w:bCs/>
                <w:sz w:val="22"/>
                <w:szCs w:val="22"/>
                <w:lang w:val="es-MX"/>
              </w:rPr>
              <w:t>onto de Garantía</w:t>
            </w:r>
          </w:p>
          <w:p w14:paraId="352DB966" w14:textId="77777777" w:rsidR="00AF6ECC" w:rsidRPr="006843FF" w:rsidRDefault="00AF6ECC" w:rsidP="00682B6D">
            <w:pPr>
              <w:spacing w:line="240" w:lineRule="auto"/>
              <w:rPr>
                <w:rFonts w:asciiTheme="minorHAnsi" w:hAnsiTheme="minorHAnsi" w:cstheme="minorHAnsi"/>
                <w:b/>
                <w:bCs/>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362E4B02" w14:textId="19E896D6" w:rsidR="00AF6ECC" w:rsidRPr="006843FF" w:rsidRDefault="00AF6ECC" w:rsidP="00682B6D">
            <w:pPr>
              <w:spacing w:line="240" w:lineRule="auto"/>
              <w:rPr>
                <w:rFonts w:asciiTheme="minorHAnsi" w:hAnsiTheme="minorHAnsi" w:cstheme="minorHAnsi"/>
                <w:sz w:val="22"/>
                <w:szCs w:val="22"/>
                <w:lang w:val="es-MX"/>
              </w:rPr>
            </w:pPr>
            <w:r w:rsidRPr="006843FF">
              <w:rPr>
                <w:rFonts w:asciiTheme="minorHAnsi" w:hAnsiTheme="minorHAnsi" w:cstheme="minorHAnsi"/>
                <w:sz w:val="22"/>
                <w:szCs w:val="22"/>
                <w:lang w:val="es-MX"/>
              </w:rPr>
              <w:t xml:space="preserve">Por el </w:t>
            </w:r>
            <w:r>
              <w:rPr>
                <w:rFonts w:asciiTheme="minorHAnsi" w:hAnsiTheme="minorHAnsi" w:cstheme="minorHAnsi"/>
                <w:sz w:val="22"/>
                <w:szCs w:val="22"/>
                <w:lang w:val="es-MX"/>
              </w:rPr>
              <w:t>15</w:t>
            </w:r>
            <w:r w:rsidRPr="006843FF">
              <w:rPr>
                <w:rFonts w:asciiTheme="minorHAnsi" w:hAnsiTheme="minorHAnsi" w:cstheme="minorHAnsi"/>
                <w:sz w:val="22"/>
                <w:szCs w:val="22"/>
                <w:lang w:val="es-MX"/>
              </w:rPr>
              <w:t>% (</w:t>
            </w:r>
            <w:r>
              <w:rPr>
                <w:rFonts w:asciiTheme="minorHAnsi" w:hAnsiTheme="minorHAnsi" w:cstheme="minorHAnsi"/>
                <w:sz w:val="22"/>
                <w:szCs w:val="22"/>
                <w:lang w:val="es-MX"/>
              </w:rPr>
              <w:t>quince</w:t>
            </w:r>
            <w:r w:rsidRPr="006843FF">
              <w:rPr>
                <w:rFonts w:asciiTheme="minorHAnsi" w:hAnsiTheme="minorHAnsi" w:cstheme="minorHAnsi"/>
                <w:sz w:val="22"/>
                <w:szCs w:val="22"/>
                <w:lang w:val="es-MX"/>
              </w:rPr>
              <w:t xml:space="preserve"> por ciento) del Monto Total de Financiamiento. Lo anterior en el entendido que: </w:t>
            </w:r>
            <w:r w:rsidRPr="009B2546">
              <w:rPr>
                <w:rFonts w:asciiTheme="minorHAnsi" w:hAnsiTheme="minorHAnsi" w:cstheme="minorHAnsi"/>
                <w:i/>
                <w:iCs/>
                <w:sz w:val="22"/>
                <w:szCs w:val="22"/>
                <w:lang w:val="es-MX"/>
              </w:rPr>
              <w:t>(i)</w:t>
            </w:r>
            <w:r w:rsidRPr="006843FF">
              <w:rPr>
                <w:rFonts w:asciiTheme="minorHAnsi" w:hAnsiTheme="minorHAnsi" w:cstheme="minorHAnsi"/>
                <w:sz w:val="22"/>
                <w:szCs w:val="22"/>
                <w:lang w:val="es-MX"/>
              </w:rPr>
              <w:t xml:space="preserve"> se podrán celebrar tantos Contratos de Garantía como se requieran conforme al resultado de la licitación del financiamiento, y </w:t>
            </w:r>
            <w:r w:rsidRPr="009B2546">
              <w:rPr>
                <w:rFonts w:asciiTheme="minorHAnsi" w:hAnsiTheme="minorHAnsi" w:cstheme="minorHAnsi"/>
                <w:i/>
                <w:iCs/>
                <w:sz w:val="22"/>
                <w:szCs w:val="22"/>
                <w:lang w:val="es-MX"/>
              </w:rPr>
              <w:t>(ii)</w:t>
            </w:r>
            <w:r w:rsidRPr="006843FF">
              <w:rPr>
                <w:rFonts w:asciiTheme="minorHAnsi" w:hAnsiTheme="minorHAnsi" w:cstheme="minorHAnsi"/>
                <w:sz w:val="22"/>
                <w:szCs w:val="22"/>
                <w:lang w:val="es-MX"/>
              </w:rPr>
              <w:t xml:space="preserve"> si las Ofertas de Crédito Ganadoras del Financiamiento hubieran sido Ofertas de Crédito sin Garantía, se desechar</w:t>
            </w:r>
            <w:r w:rsidR="008E0B2C">
              <w:rPr>
                <w:rFonts w:asciiTheme="minorHAnsi" w:hAnsiTheme="minorHAnsi" w:cstheme="minorHAnsi"/>
                <w:sz w:val="22"/>
                <w:szCs w:val="22"/>
                <w:lang w:val="es-MX"/>
              </w:rPr>
              <w:t>á</w:t>
            </w:r>
            <w:r w:rsidRPr="006843FF">
              <w:rPr>
                <w:rFonts w:asciiTheme="minorHAnsi" w:hAnsiTheme="minorHAnsi" w:cstheme="minorHAnsi"/>
                <w:sz w:val="22"/>
                <w:szCs w:val="22"/>
                <w:lang w:val="es-MX"/>
              </w:rPr>
              <w:t>, en su caso, la Oferta de Garantía Calificada.</w:t>
            </w:r>
          </w:p>
        </w:tc>
      </w:tr>
      <w:tr w:rsidR="00AF6ECC" w:rsidRPr="006843FF" w14:paraId="7496802F"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0CA77B7C"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 la Garantía:</w:t>
            </w:r>
          </w:p>
        </w:tc>
        <w:tc>
          <w:tcPr>
            <w:tcW w:w="5805" w:type="dxa"/>
            <w:tcBorders>
              <w:top w:val="single" w:sz="4" w:space="0" w:color="auto"/>
              <w:left w:val="single" w:sz="4" w:space="0" w:color="auto"/>
              <w:bottom w:val="single" w:sz="4" w:space="0" w:color="auto"/>
              <w:right w:val="single" w:sz="4" w:space="0" w:color="auto"/>
            </w:tcBorders>
            <w:hideMark/>
          </w:tcPr>
          <w:p w14:paraId="1038F833" w14:textId="4BC34893" w:rsidR="00AF6ECC" w:rsidRPr="00B81281" w:rsidRDefault="00AF6ECC" w:rsidP="00B81281">
            <w:pPr>
              <w:tabs>
                <w:tab w:val="left" w:pos="567"/>
              </w:tabs>
              <w:spacing w:line="240" w:lineRule="auto"/>
              <w:rPr>
                <w:rFonts w:asciiTheme="minorHAnsi" w:hAnsiTheme="minorHAnsi"/>
                <w:sz w:val="22"/>
              </w:rPr>
            </w:pPr>
            <w:r w:rsidRPr="007B7EE9">
              <w:rPr>
                <w:rFonts w:asciiTheme="minorHAnsi" w:hAnsiTheme="minorHAnsi"/>
                <w:sz w:val="22"/>
              </w:rPr>
              <w:t>300 (trescientos) meses, equivalente a 9,125 (nueve mil ciento veinticinco) días, contados a partir de la prim</w:t>
            </w:r>
            <w:r w:rsidRPr="006843FF">
              <w:rPr>
                <w:rFonts w:asciiTheme="minorHAnsi" w:hAnsiTheme="minorHAnsi"/>
                <w:sz w:val="22"/>
              </w:rPr>
              <w:t>era disposición del Crédito Garantizado.</w:t>
            </w:r>
          </w:p>
        </w:tc>
      </w:tr>
      <w:tr w:rsidR="00AF6ECC" w:rsidRPr="006843FF" w14:paraId="6318B1FF" w14:textId="77777777" w:rsidTr="00682B6D">
        <w:tc>
          <w:tcPr>
            <w:tcW w:w="2694" w:type="dxa"/>
            <w:tcBorders>
              <w:top w:val="single" w:sz="4" w:space="0" w:color="auto"/>
              <w:left w:val="single" w:sz="4" w:space="0" w:color="auto"/>
              <w:bottom w:val="single" w:sz="4" w:space="0" w:color="auto"/>
              <w:right w:val="single" w:sz="4" w:space="0" w:color="auto"/>
            </w:tcBorders>
          </w:tcPr>
          <w:p w14:paraId="4CC08C1A"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 Disposición de la Garantía:</w:t>
            </w:r>
          </w:p>
          <w:p w14:paraId="11CB9332"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hideMark/>
          </w:tcPr>
          <w:p w14:paraId="49DA9F29" w14:textId="09134145" w:rsidR="00AF6ECC" w:rsidRPr="00B81281" w:rsidRDefault="00AF6ECC" w:rsidP="00682B6D">
            <w:pPr>
              <w:spacing w:line="240" w:lineRule="auto"/>
              <w:rPr>
                <w:rFonts w:asciiTheme="minorHAnsi" w:eastAsia="Arial" w:hAnsiTheme="minorHAnsi"/>
                <w:color w:val="000000"/>
                <w:spacing w:val="-1"/>
                <w:sz w:val="22"/>
                <w:lang w:val="es-MX"/>
              </w:rPr>
            </w:pPr>
            <w:r w:rsidRPr="006843FF">
              <w:rPr>
                <w:rFonts w:asciiTheme="minorHAnsi" w:eastAsia="Arial" w:hAnsiTheme="minorHAnsi" w:cstheme="minorHAnsi"/>
                <w:color w:val="000000"/>
                <w:spacing w:val="-1"/>
                <w:sz w:val="22"/>
                <w:szCs w:val="22"/>
                <w:lang w:val="es-MX"/>
              </w:rPr>
              <w:t xml:space="preserve">Hasta 240 (doscientos cuarenta) meses, equivalentes a 7,300 (siete mil trescientos) días, contados a partir de la primera disposición del Crédito Garantizado, que corresponde a la vigencia del Crédito Garantizado, </w:t>
            </w:r>
            <w:r w:rsidR="004546A4" w:rsidRPr="00EF170F">
              <w:rPr>
                <w:rFonts w:asciiTheme="minorHAnsi" w:eastAsia="Arial" w:hAnsiTheme="minorHAnsi" w:cstheme="minorHAnsi"/>
                <w:color w:val="000000"/>
                <w:spacing w:val="-1"/>
                <w:sz w:val="22"/>
                <w:szCs w:val="22"/>
                <w:lang w:val="es-MX"/>
              </w:rPr>
              <w:t xml:space="preserve">o hasta que se agote el monto de la garantía, conforme al mecanismo de actualización de </w:t>
            </w:r>
            <w:r w:rsidR="008E0B2C">
              <w:rPr>
                <w:rFonts w:asciiTheme="minorHAnsi" w:eastAsia="Arial" w:hAnsiTheme="minorHAnsi" w:cstheme="minorHAnsi"/>
                <w:color w:val="000000"/>
                <w:spacing w:val="-1"/>
                <w:sz w:val="22"/>
                <w:szCs w:val="22"/>
                <w:lang w:val="es-MX"/>
              </w:rPr>
              <w:t>é</w:t>
            </w:r>
            <w:r w:rsidR="004546A4" w:rsidRPr="00EF170F">
              <w:rPr>
                <w:rFonts w:asciiTheme="minorHAnsi" w:eastAsia="Arial" w:hAnsiTheme="minorHAnsi" w:cstheme="minorHAnsi"/>
                <w:color w:val="000000"/>
                <w:spacing w:val="-1"/>
                <w:sz w:val="22"/>
                <w:szCs w:val="22"/>
                <w:lang w:val="es-MX"/>
              </w:rPr>
              <w:t xml:space="preserve">ste, </w:t>
            </w:r>
            <w:r w:rsidRPr="006843FF">
              <w:rPr>
                <w:rFonts w:asciiTheme="minorHAnsi" w:eastAsia="Arial" w:hAnsiTheme="minorHAnsi" w:cstheme="minorHAnsi"/>
                <w:color w:val="000000"/>
                <w:spacing w:val="-1"/>
                <w:sz w:val="22"/>
                <w:szCs w:val="22"/>
                <w:lang w:val="es-MX"/>
              </w:rPr>
              <w:t xml:space="preserve">en el entendido que, durante este periodo el servicio de la garantía será subordinado al servicio del Crédito Garantizado y, en su caso, al pago de los </w:t>
            </w:r>
            <w:r w:rsidR="00C737B7">
              <w:rPr>
                <w:rFonts w:asciiTheme="minorHAnsi" w:eastAsia="Arial" w:hAnsiTheme="minorHAnsi" w:cstheme="minorHAnsi"/>
                <w:color w:val="000000"/>
                <w:spacing w:val="-1"/>
                <w:sz w:val="22"/>
                <w:szCs w:val="22"/>
                <w:lang w:val="es-MX"/>
              </w:rPr>
              <w:t>i</w:t>
            </w:r>
            <w:r w:rsidRPr="006843FF">
              <w:rPr>
                <w:rFonts w:asciiTheme="minorHAnsi" w:eastAsia="Arial" w:hAnsiTheme="minorHAnsi" w:cstheme="minorHAnsi"/>
                <w:color w:val="000000"/>
                <w:spacing w:val="-1"/>
                <w:sz w:val="22"/>
                <w:szCs w:val="22"/>
                <w:lang w:val="es-MX"/>
              </w:rPr>
              <w:t>nstrumentos de intercambio de tasas.</w:t>
            </w:r>
          </w:p>
        </w:tc>
      </w:tr>
      <w:tr w:rsidR="00AF6ECC" w:rsidRPr="006843FF" w14:paraId="665E19B0"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45717621"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Plazo de Amortización de la Garantía:</w:t>
            </w:r>
          </w:p>
        </w:tc>
        <w:tc>
          <w:tcPr>
            <w:tcW w:w="5805" w:type="dxa"/>
            <w:tcBorders>
              <w:top w:val="single" w:sz="4" w:space="0" w:color="auto"/>
              <w:left w:val="single" w:sz="4" w:space="0" w:color="auto"/>
              <w:bottom w:val="single" w:sz="4" w:space="0" w:color="auto"/>
              <w:right w:val="single" w:sz="4" w:space="0" w:color="auto"/>
            </w:tcBorders>
          </w:tcPr>
          <w:p w14:paraId="2CCD9872" w14:textId="46695A61" w:rsidR="00AF6ECC" w:rsidRPr="006843FF" w:rsidRDefault="00AF6ECC" w:rsidP="00682B6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 xml:space="preserve">60 (sesenta) meses, equivalentes a 1,825 (un mil ochocientos veinticinco) días, contados a partir del día siguiente al último día del periodo de disposición de la Garantía, </w:t>
            </w:r>
            <w:r w:rsidRPr="00C4698E">
              <w:rPr>
                <w:rFonts w:asciiTheme="minorHAnsi" w:eastAsia="Arial" w:hAnsiTheme="minorHAnsi" w:cstheme="minorHAnsi"/>
                <w:color w:val="000000"/>
                <w:spacing w:val="-1"/>
                <w:sz w:val="22"/>
                <w:szCs w:val="22"/>
                <w:lang w:val="es-MX"/>
              </w:rPr>
              <w:t xml:space="preserve">o hasta que se agote el monto de la garantía, conforme al mecanismo de actualización de </w:t>
            </w:r>
            <w:r w:rsidR="008E0B2C">
              <w:rPr>
                <w:rFonts w:asciiTheme="minorHAnsi" w:eastAsia="Arial" w:hAnsiTheme="minorHAnsi" w:cstheme="minorHAnsi"/>
                <w:color w:val="000000"/>
                <w:spacing w:val="-1"/>
                <w:sz w:val="22"/>
                <w:szCs w:val="22"/>
                <w:lang w:val="es-MX"/>
              </w:rPr>
              <w:t>é</w:t>
            </w:r>
            <w:r w:rsidRPr="00C4698E">
              <w:rPr>
                <w:rFonts w:asciiTheme="minorHAnsi" w:eastAsia="Arial" w:hAnsiTheme="minorHAnsi" w:cstheme="minorHAnsi"/>
                <w:color w:val="000000"/>
                <w:spacing w:val="-1"/>
                <w:sz w:val="22"/>
                <w:szCs w:val="22"/>
                <w:lang w:val="es-MX"/>
              </w:rPr>
              <w:t>ste</w:t>
            </w:r>
            <w:r>
              <w:rPr>
                <w:rFonts w:asciiTheme="minorHAnsi" w:eastAsia="Arial" w:hAnsiTheme="minorHAnsi" w:cstheme="minorHAnsi"/>
                <w:color w:val="000000"/>
                <w:spacing w:val="-1"/>
                <w:sz w:val="22"/>
                <w:szCs w:val="22"/>
                <w:lang w:val="es-MX"/>
              </w:rPr>
              <w:t xml:space="preserve">, </w:t>
            </w:r>
            <w:r w:rsidRPr="006843FF">
              <w:rPr>
                <w:rFonts w:asciiTheme="minorHAnsi" w:eastAsia="Arial" w:hAnsiTheme="minorHAnsi" w:cstheme="minorHAnsi"/>
                <w:color w:val="000000"/>
                <w:spacing w:val="-1"/>
                <w:sz w:val="22"/>
                <w:szCs w:val="22"/>
                <w:lang w:val="es-MX"/>
              </w:rPr>
              <w:t xml:space="preserve">en el entendido que, durante este periodo el </w:t>
            </w:r>
            <w:r w:rsidR="00446318">
              <w:rPr>
                <w:rFonts w:asciiTheme="minorHAnsi" w:eastAsia="Arial" w:hAnsiTheme="minorHAnsi" w:cstheme="minorHAnsi"/>
                <w:color w:val="000000"/>
                <w:spacing w:val="-1"/>
                <w:sz w:val="22"/>
                <w:szCs w:val="22"/>
                <w:lang w:val="es-MX"/>
              </w:rPr>
              <w:t>pago</w:t>
            </w:r>
            <w:r w:rsidR="00446318" w:rsidRPr="006843FF">
              <w:rPr>
                <w:rFonts w:asciiTheme="minorHAnsi" w:eastAsia="Arial" w:hAnsiTheme="minorHAnsi" w:cstheme="minorHAnsi"/>
                <w:color w:val="000000"/>
                <w:spacing w:val="-1"/>
                <w:sz w:val="22"/>
                <w:szCs w:val="22"/>
                <w:lang w:val="es-MX"/>
              </w:rPr>
              <w:t xml:space="preserve"> </w:t>
            </w:r>
            <w:r w:rsidRPr="006843FF">
              <w:rPr>
                <w:rFonts w:asciiTheme="minorHAnsi" w:eastAsia="Arial" w:hAnsiTheme="minorHAnsi" w:cstheme="minorHAnsi"/>
                <w:color w:val="000000"/>
                <w:spacing w:val="-1"/>
                <w:sz w:val="22"/>
                <w:szCs w:val="22"/>
                <w:lang w:val="es-MX"/>
              </w:rPr>
              <w:t xml:space="preserve">de la </w:t>
            </w:r>
            <w:r w:rsidR="00446318">
              <w:rPr>
                <w:rFonts w:asciiTheme="minorHAnsi" w:eastAsia="Arial" w:hAnsiTheme="minorHAnsi" w:cstheme="minorHAnsi"/>
                <w:color w:val="000000"/>
                <w:spacing w:val="-1"/>
                <w:sz w:val="22"/>
                <w:szCs w:val="22"/>
                <w:lang w:val="es-MX"/>
              </w:rPr>
              <w:t>G</w:t>
            </w:r>
            <w:r w:rsidRPr="006843FF">
              <w:rPr>
                <w:rFonts w:asciiTheme="minorHAnsi" w:eastAsia="Arial" w:hAnsiTheme="minorHAnsi" w:cstheme="minorHAnsi"/>
                <w:color w:val="000000"/>
                <w:spacing w:val="-1"/>
                <w:sz w:val="22"/>
                <w:szCs w:val="22"/>
                <w:lang w:val="es-MX"/>
              </w:rPr>
              <w:t xml:space="preserve">arantía será a prorrata con el </w:t>
            </w:r>
            <w:r w:rsidR="00156D4C">
              <w:rPr>
                <w:rFonts w:asciiTheme="minorHAnsi" w:eastAsia="Arial" w:hAnsiTheme="minorHAnsi" w:cstheme="minorHAnsi"/>
                <w:color w:val="000000"/>
                <w:spacing w:val="-1"/>
                <w:sz w:val="22"/>
                <w:szCs w:val="22"/>
                <w:lang w:val="es-MX"/>
              </w:rPr>
              <w:t xml:space="preserve">pago del </w:t>
            </w:r>
            <w:r w:rsidRPr="006843FF">
              <w:rPr>
                <w:rFonts w:asciiTheme="minorHAnsi" w:eastAsia="Arial" w:hAnsiTheme="minorHAnsi" w:cstheme="minorHAnsi"/>
                <w:color w:val="000000"/>
                <w:spacing w:val="-1"/>
                <w:sz w:val="22"/>
                <w:szCs w:val="22"/>
                <w:lang w:val="es-MX"/>
              </w:rPr>
              <w:t>Crédito</w:t>
            </w:r>
            <w:r w:rsidR="00156D4C">
              <w:rPr>
                <w:rFonts w:asciiTheme="minorHAnsi" w:eastAsia="Arial" w:hAnsiTheme="minorHAnsi" w:cstheme="minorHAnsi"/>
                <w:color w:val="000000"/>
                <w:spacing w:val="-1"/>
                <w:sz w:val="22"/>
                <w:szCs w:val="22"/>
                <w:lang w:val="es-MX"/>
              </w:rPr>
              <w:t xml:space="preserve"> </w:t>
            </w:r>
            <w:r w:rsidRPr="006843FF">
              <w:rPr>
                <w:rFonts w:asciiTheme="minorHAnsi" w:eastAsia="Arial" w:hAnsiTheme="minorHAnsi" w:cstheme="minorHAnsi"/>
                <w:color w:val="000000"/>
                <w:spacing w:val="-1"/>
                <w:sz w:val="22"/>
                <w:szCs w:val="22"/>
                <w:lang w:val="es-MX"/>
              </w:rPr>
              <w:t>Garantizado y, en su caso, con el pago de los</w:t>
            </w:r>
            <w:r w:rsidR="00156D4C">
              <w:rPr>
                <w:rFonts w:asciiTheme="minorHAnsi" w:eastAsia="Arial" w:hAnsiTheme="minorHAnsi" w:cstheme="minorHAnsi"/>
                <w:color w:val="000000"/>
                <w:spacing w:val="-1"/>
                <w:sz w:val="22"/>
                <w:szCs w:val="22"/>
                <w:lang w:val="es-MX"/>
              </w:rPr>
              <w:t xml:space="preserve"> diferenciales de los</w:t>
            </w:r>
            <w:r w:rsidRPr="006843FF">
              <w:rPr>
                <w:rFonts w:asciiTheme="minorHAnsi" w:eastAsia="Arial" w:hAnsiTheme="minorHAnsi" w:cstheme="minorHAnsi"/>
                <w:color w:val="000000"/>
                <w:spacing w:val="-1"/>
                <w:sz w:val="22"/>
                <w:szCs w:val="22"/>
                <w:lang w:val="es-MX"/>
              </w:rPr>
              <w:t xml:space="preserve"> </w:t>
            </w:r>
            <w:r w:rsidR="00C737B7">
              <w:rPr>
                <w:rFonts w:asciiTheme="minorHAnsi" w:eastAsia="Arial" w:hAnsiTheme="minorHAnsi" w:cstheme="minorHAnsi"/>
                <w:color w:val="000000"/>
                <w:spacing w:val="-1"/>
                <w:sz w:val="22"/>
                <w:szCs w:val="22"/>
                <w:lang w:val="es-MX"/>
              </w:rPr>
              <w:t>i</w:t>
            </w:r>
            <w:r w:rsidRPr="006843FF">
              <w:rPr>
                <w:rFonts w:asciiTheme="minorHAnsi" w:eastAsia="Arial" w:hAnsiTheme="minorHAnsi" w:cstheme="minorHAnsi"/>
                <w:color w:val="000000"/>
                <w:spacing w:val="-1"/>
                <w:sz w:val="22"/>
                <w:szCs w:val="22"/>
                <w:lang w:val="es-MX"/>
              </w:rPr>
              <w:t>nstrumentos de intercambio de tasas.</w:t>
            </w:r>
          </w:p>
        </w:tc>
      </w:tr>
      <w:tr w:rsidR="00AF6ECC" w:rsidRPr="006843FF" w14:paraId="05E53BFB" w14:textId="77777777" w:rsidTr="00682B6D">
        <w:tc>
          <w:tcPr>
            <w:tcW w:w="2694" w:type="dxa"/>
            <w:tcBorders>
              <w:top w:val="single" w:sz="4" w:space="0" w:color="auto"/>
              <w:left w:val="single" w:sz="4" w:space="0" w:color="auto"/>
              <w:bottom w:val="single" w:sz="4" w:space="0" w:color="auto"/>
              <w:right w:val="single" w:sz="4" w:space="0" w:color="auto"/>
            </w:tcBorders>
          </w:tcPr>
          <w:p w14:paraId="430C71B1" w14:textId="77777777" w:rsidR="00AF6ECC" w:rsidRPr="006843FF" w:rsidRDefault="00AF6ECC" w:rsidP="00682B6D">
            <w:pPr>
              <w:spacing w:line="240" w:lineRule="auto"/>
              <w:rPr>
                <w:rFonts w:asciiTheme="minorHAnsi" w:eastAsiaTheme="minorHAnsi" w:hAnsiTheme="minorHAnsi" w:cstheme="minorHAnsi"/>
                <w:b/>
                <w:spacing w:val="0"/>
                <w:sz w:val="22"/>
                <w:szCs w:val="22"/>
                <w:lang w:val="es-MX"/>
              </w:rPr>
            </w:pPr>
            <w:r w:rsidRPr="006843FF">
              <w:rPr>
                <w:rFonts w:asciiTheme="minorHAnsi" w:hAnsiTheme="minorHAnsi" w:cstheme="minorHAnsi"/>
                <w:b/>
                <w:sz w:val="22"/>
                <w:szCs w:val="22"/>
                <w:lang w:val="es-MX"/>
              </w:rPr>
              <w:t>Perfil de Amortizaciones:</w:t>
            </w:r>
          </w:p>
          <w:p w14:paraId="4F727DB3"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764D132A" w14:textId="224BAE02" w:rsidR="00AF6ECC" w:rsidRPr="00B81281" w:rsidRDefault="00AF6ECC" w:rsidP="00B81281">
            <w:pPr>
              <w:tabs>
                <w:tab w:val="left" w:pos="567"/>
              </w:tabs>
              <w:spacing w:line="240" w:lineRule="auto"/>
              <w:rPr>
                <w:rFonts w:asciiTheme="minorHAnsi" w:hAnsiTheme="minorHAnsi"/>
                <w:sz w:val="22"/>
              </w:rPr>
            </w:pPr>
            <w:r w:rsidRPr="007B7EE9">
              <w:rPr>
                <w:rFonts w:asciiTheme="minorHAnsi" w:hAnsiTheme="minorHAnsi"/>
                <w:sz w:val="22"/>
              </w:rPr>
              <w:t xml:space="preserve">Durante el periodo de disposición de la Garantía, en cada fecha de </w:t>
            </w:r>
            <w:r w:rsidRPr="006843FF">
              <w:rPr>
                <w:rFonts w:asciiTheme="minorHAnsi" w:hAnsiTheme="minorHAnsi"/>
                <w:sz w:val="22"/>
              </w:rPr>
              <w:t xml:space="preserve">pago, hasta donde basten o alcancen los recursos </w:t>
            </w:r>
            <w:r w:rsidRPr="006843FF">
              <w:rPr>
                <w:rFonts w:asciiTheme="minorHAnsi" w:hAnsiTheme="minorHAnsi"/>
                <w:sz w:val="22"/>
              </w:rPr>
              <w:lastRenderedPageBreak/>
              <w:t>disponibles en la cuenta del Fideicomiso Maestro que corresponda, de conformidad con la prelación prevista en el mismo; y durante el periodo de amortización de la Garantía, mediante pagos mensuales, iguales y consecutivos de capital.</w:t>
            </w:r>
          </w:p>
        </w:tc>
      </w:tr>
      <w:tr w:rsidR="00AF6ECC" w:rsidRPr="006843FF" w14:paraId="21BE0571" w14:textId="77777777" w:rsidTr="00682B6D">
        <w:trPr>
          <w:trHeight w:val="53"/>
        </w:trPr>
        <w:tc>
          <w:tcPr>
            <w:tcW w:w="2694" w:type="dxa"/>
            <w:tcBorders>
              <w:top w:val="single" w:sz="4" w:space="0" w:color="auto"/>
              <w:left w:val="single" w:sz="4" w:space="0" w:color="auto"/>
              <w:bottom w:val="single" w:sz="4" w:space="0" w:color="auto"/>
              <w:right w:val="single" w:sz="4" w:space="0" w:color="auto"/>
            </w:tcBorders>
            <w:hideMark/>
          </w:tcPr>
          <w:p w14:paraId="463ABA44"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lastRenderedPageBreak/>
              <w:t>Periodo de gracia:</w:t>
            </w:r>
          </w:p>
        </w:tc>
        <w:tc>
          <w:tcPr>
            <w:tcW w:w="5805" w:type="dxa"/>
            <w:tcBorders>
              <w:top w:val="single" w:sz="4" w:space="0" w:color="auto"/>
              <w:left w:val="single" w:sz="4" w:space="0" w:color="auto"/>
              <w:bottom w:val="single" w:sz="4" w:space="0" w:color="auto"/>
              <w:right w:val="single" w:sz="4" w:space="0" w:color="auto"/>
            </w:tcBorders>
          </w:tcPr>
          <w:p w14:paraId="56089160" w14:textId="4C5F456A" w:rsidR="00AF6ECC" w:rsidRPr="006843FF" w:rsidRDefault="00AF6ECC" w:rsidP="00682B6D">
            <w:pPr>
              <w:spacing w:line="240" w:lineRule="auto"/>
              <w:rPr>
                <w:rFonts w:asciiTheme="minorHAnsi" w:eastAsia="Arial" w:hAnsiTheme="minorHAnsi" w:cstheme="minorHAnsi"/>
                <w:color w:val="000000"/>
                <w:spacing w:val="-1"/>
                <w:sz w:val="22"/>
                <w:szCs w:val="22"/>
                <w:lang w:val="es-MX"/>
              </w:rPr>
            </w:pPr>
            <w:r w:rsidRPr="006843FF">
              <w:rPr>
                <w:rFonts w:asciiTheme="minorHAnsi" w:eastAsia="Arial" w:hAnsiTheme="minorHAnsi" w:cstheme="minorHAnsi"/>
                <w:color w:val="000000"/>
                <w:spacing w:val="-1"/>
                <w:sz w:val="22"/>
                <w:szCs w:val="22"/>
                <w:lang w:val="es-MX"/>
              </w:rPr>
              <w:t xml:space="preserve">Sin periodo de gracia. </w:t>
            </w:r>
          </w:p>
        </w:tc>
      </w:tr>
      <w:tr w:rsidR="00AF6ECC" w:rsidRPr="006843FF" w14:paraId="579AAF32"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11E3734E" w14:textId="77777777" w:rsidR="00AF6ECC" w:rsidRPr="006843FF" w:rsidRDefault="00AF6ECC" w:rsidP="00682B6D">
            <w:pPr>
              <w:spacing w:line="240" w:lineRule="auto"/>
              <w:rPr>
                <w:rFonts w:asciiTheme="minorHAnsi" w:eastAsiaTheme="minorHAnsi" w:hAnsiTheme="minorHAnsi" w:cstheme="minorHAnsi"/>
                <w:b/>
                <w:spacing w:val="0"/>
                <w:sz w:val="22"/>
                <w:szCs w:val="22"/>
                <w:lang w:val="es-MX"/>
              </w:rPr>
            </w:pPr>
            <w:r w:rsidRPr="006843FF">
              <w:rPr>
                <w:rFonts w:asciiTheme="minorHAnsi" w:hAnsiTheme="minorHAnsi" w:cstheme="minorHAnsi"/>
                <w:b/>
                <w:sz w:val="22"/>
                <w:szCs w:val="22"/>
                <w:lang w:val="es-MX"/>
              </w:rPr>
              <w:t xml:space="preserve">Contraprestación Mensual de la Garantía: </w:t>
            </w:r>
          </w:p>
        </w:tc>
        <w:tc>
          <w:tcPr>
            <w:tcW w:w="5805" w:type="dxa"/>
            <w:tcBorders>
              <w:top w:val="single" w:sz="4" w:space="0" w:color="auto"/>
              <w:left w:val="single" w:sz="4" w:space="0" w:color="auto"/>
              <w:bottom w:val="single" w:sz="4" w:space="0" w:color="auto"/>
              <w:right w:val="single" w:sz="4" w:space="0" w:color="auto"/>
            </w:tcBorders>
          </w:tcPr>
          <w:p w14:paraId="5DCB341A" w14:textId="52BD220A" w:rsidR="00AF6ECC" w:rsidRPr="006843FF" w:rsidRDefault="00AF6ECC" w:rsidP="00682B6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 xml:space="preserve">El Garante tendrá derecho al pago de la Contraprestación Mensual de la Garantía, la cual tendrá preferencia en el pago respecto del </w:t>
            </w:r>
            <w:r w:rsidR="008E0B2C">
              <w:rPr>
                <w:rFonts w:asciiTheme="minorHAnsi" w:hAnsiTheme="minorHAnsi" w:cstheme="minorHAnsi"/>
                <w:sz w:val="22"/>
                <w:szCs w:val="22"/>
                <w:lang w:val="es-MX" w:eastAsia="en-US"/>
              </w:rPr>
              <w:t xml:space="preserve">pago </w:t>
            </w:r>
            <w:r w:rsidRPr="006843FF">
              <w:rPr>
                <w:rFonts w:asciiTheme="minorHAnsi" w:hAnsiTheme="minorHAnsi" w:cstheme="minorHAnsi"/>
                <w:sz w:val="22"/>
                <w:szCs w:val="22"/>
                <w:lang w:val="es-MX" w:eastAsia="en-US"/>
              </w:rPr>
              <w:t>del Crédito Garantizado, de conformidad con la prelación en el Fideicomiso Maestro.</w:t>
            </w:r>
          </w:p>
        </w:tc>
      </w:tr>
      <w:tr w:rsidR="00AF6ECC" w:rsidRPr="006843FF" w14:paraId="69544443"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644004A0" w14:textId="77777777" w:rsidR="00AF6ECC" w:rsidRPr="006843FF" w:rsidRDefault="00AF6ECC" w:rsidP="00682B6D">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 xml:space="preserve">Periodo para el cumplimiento de condiciones suspensivas: </w:t>
            </w:r>
          </w:p>
        </w:tc>
        <w:tc>
          <w:tcPr>
            <w:tcW w:w="5805" w:type="dxa"/>
            <w:tcBorders>
              <w:top w:val="single" w:sz="4" w:space="0" w:color="auto"/>
              <w:left w:val="single" w:sz="4" w:space="0" w:color="auto"/>
              <w:bottom w:val="single" w:sz="4" w:space="0" w:color="auto"/>
              <w:right w:val="single" w:sz="4" w:space="0" w:color="auto"/>
            </w:tcBorders>
          </w:tcPr>
          <w:p w14:paraId="06FE6ACF" w14:textId="7E3C7781" w:rsidR="00AF6ECC" w:rsidRPr="006843FF" w:rsidRDefault="00AF6ECC" w:rsidP="00682B6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Hasta 60 (sesenta) días naturales, contados a partir de la firma del contrato de garantía, el cual podrá prorrogarse por un periodo igual, a solicitud del Estado.</w:t>
            </w:r>
          </w:p>
        </w:tc>
      </w:tr>
      <w:tr w:rsidR="00AF6ECC" w:rsidRPr="006843FF" w14:paraId="5168A2EF"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60CBBFF7"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Tasa de Interés en caso de ejercicio de la Garantía:</w:t>
            </w:r>
          </w:p>
        </w:tc>
        <w:tc>
          <w:tcPr>
            <w:tcW w:w="5805" w:type="dxa"/>
            <w:tcBorders>
              <w:top w:val="single" w:sz="4" w:space="0" w:color="auto"/>
              <w:left w:val="single" w:sz="4" w:space="0" w:color="auto"/>
              <w:bottom w:val="single" w:sz="4" w:space="0" w:color="auto"/>
              <w:right w:val="single" w:sz="4" w:space="0" w:color="auto"/>
            </w:tcBorders>
            <w:hideMark/>
          </w:tcPr>
          <w:p w14:paraId="039049B7" w14:textId="4AE94322" w:rsidR="00AF6ECC" w:rsidRPr="006843FF" w:rsidRDefault="00AF6ECC" w:rsidP="00682B6D">
            <w:pPr>
              <w:pStyle w:val="Sinespaciado1"/>
              <w:rPr>
                <w:rFonts w:asciiTheme="minorHAnsi" w:eastAsia="Arial" w:hAnsiTheme="minorHAnsi" w:cstheme="minorHAnsi"/>
                <w:color w:val="000000"/>
                <w:spacing w:val="-1"/>
                <w:sz w:val="22"/>
                <w:szCs w:val="22"/>
                <w:lang w:val="es-MX" w:eastAsia="en-US"/>
              </w:rPr>
            </w:pPr>
            <w:r w:rsidRPr="006843FF">
              <w:rPr>
                <w:rFonts w:asciiTheme="minorHAnsi" w:eastAsia="Arial" w:hAnsiTheme="minorHAnsi" w:cstheme="minorHAnsi"/>
                <w:color w:val="000000"/>
                <w:spacing w:val="-1"/>
                <w:sz w:val="22"/>
                <w:szCs w:val="22"/>
                <w:lang w:val="es-MX" w:eastAsia="en-US"/>
              </w:rPr>
              <w:t xml:space="preserve">Variable. La Tasa de Interés Ordinaria para el cómputo de los intereses será el resultado de sumar: </w:t>
            </w:r>
            <w:r w:rsidRPr="006843FF">
              <w:rPr>
                <w:rFonts w:asciiTheme="minorHAnsi" w:eastAsia="Arial" w:hAnsiTheme="minorHAnsi" w:cstheme="minorHAnsi"/>
                <w:i/>
                <w:iCs/>
                <w:color w:val="000000"/>
                <w:spacing w:val="-1"/>
                <w:sz w:val="22"/>
                <w:szCs w:val="22"/>
                <w:lang w:val="es-MX" w:eastAsia="en-US"/>
              </w:rPr>
              <w:t>(i)</w:t>
            </w:r>
            <w:r w:rsidRPr="006843FF">
              <w:rPr>
                <w:rFonts w:asciiTheme="minorHAnsi" w:eastAsia="Arial" w:hAnsiTheme="minorHAnsi" w:cstheme="minorHAnsi"/>
                <w:color w:val="000000"/>
                <w:spacing w:val="-1"/>
                <w:sz w:val="22"/>
                <w:szCs w:val="22"/>
                <w:lang w:val="es-MX" w:eastAsia="en-US"/>
              </w:rPr>
              <w:t xml:space="preserve"> la Tasa de Referencia, más </w:t>
            </w:r>
            <w:r w:rsidRPr="006843FF">
              <w:rPr>
                <w:rFonts w:asciiTheme="minorHAnsi" w:eastAsia="Arial" w:hAnsiTheme="minorHAnsi" w:cstheme="minorHAnsi"/>
                <w:i/>
                <w:iCs/>
                <w:color w:val="000000"/>
                <w:spacing w:val="-1"/>
                <w:sz w:val="22"/>
                <w:szCs w:val="22"/>
                <w:lang w:val="es-MX" w:eastAsia="en-US"/>
              </w:rPr>
              <w:t>(ii)</w:t>
            </w:r>
            <w:r w:rsidRPr="006843FF">
              <w:rPr>
                <w:rFonts w:asciiTheme="minorHAnsi" w:eastAsia="Arial" w:hAnsiTheme="minorHAnsi" w:cstheme="minorHAnsi"/>
                <w:color w:val="000000"/>
                <w:spacing w:val="-1"/>
                <w:sz w:val="22"/>
                <w:szCs w:val="22"/>
                <w:lang w:val="es-MX" w:eastAsia="en-US"/>
              </w:rPr>
              <w:t xml:space="preserve"> los puntos porcentuales del Margen Aplicable al nivel de </w:t>
            </w:r>
            <w:r>
              <w:rPr>
                <w:rFonts w:asciiTheme="minorHAnsi" w:eastAsia="Arial" w:hAnsiTheme="minorHAnsi" w:cstheme="minorHAnsi"/>
                <w:color w:val="000000"/>
                <w:spacing w:val="-1"/>
                <w:sz w:val="22"/>
                <w:szCs w:val="22"/>
                <w:lang w:val="es-MX" w:eastAsia="en-US"/>
              </w:rPr>
              <w:t>C</w:t>
            </w:r>
            <w:r w:rsidRPr="006843FF">
              <w:rPr>
                <w:rFonts w:asciiTheme="minorHAnsi" w:eastAsia="Arial" w:hAnsiTheme="minorHAnsi" w:cstheme="minorHAnsi"/>
                <w:color w:val="000000"/>
                <w:spacing w:val="-1"/>
                <w:sz w:val="22"/>
                <w:szCs w:val="22"/>
                <w:lang w:val="es-MX" w:eastAsia="en-US"/>
              </w:rPr>
              <w:t xml:space="preserve">alificación </w:t>
            </w:r>
            <w:r>
              <w:rPr>
                <w:rFonts w:asciiTheme="minorHAnsi" w:eastAsia="Arial" w:hAnsiTheme="minorHAnsi" w:cstheme="minorHAnsi"/>
                <w:color w:val="000000"/>
                <w:spacing w:val="-1"/>
                <w:sz w:val="22"/>
                <w:szCs w:val="22"/>
                <w:lang w:val="es-MX" w:eastAsia="en-US"/>
              </w:rPr>
              <w:t xml:space="preserve">Sombra </w:t>
            </w:r>
            <w:r w:rsidRPr="006843FF">
              <w:rPr>
                <w:rFonts w:asciiTheme="minorHAnsi" w:eastAsia="Arial" w:hAnsiTheme="minorHAnsi" w:cstheme="minorHAnsi"/>
                <w:color w:val="000000"/>
                <w:spacing w:val="-1"/>
                <w:sz w:val="22"/>
                <w:szCs w:val="22"/>
                <w:lang w:val="es-MX" w:eastAsia="en-US"/>
              </w:rPr>
              <w:t xml:space="preserve">del crédito o, en su caso, del Estado; </w:t>
            </w:r>
            <w:r>
              <w:rPr>
                <w:rFonts w:asciiTheme="minorHAnsi" w:eastAsia="Arial" w:hAnsiTheme="minorHAnsi" w:cstheme="minorHAnsi"/>
                <w:color w:val="000000"/>
                <w:spacing w:val="-1"/>
                <w:sz w:val="22"/>
                <w:szCs w:val="22"/>
                <w:lang w:val="es-MX" w:eastAsia="en-US"/>
              </w:rPr>
              <w:t xml:space="preserve">en </w:t>
            </w:r>
            <w:r w:rsidR="004546A4">
              <w:rPr>
                <w:rFonts w:asciiTheme="minorHAnsi" w:eastAsia="Arial" w:hAnsiTheme="minorHAnsi" w:cstheme="minorHAnsi"/>
                <w:color w:val="000000"/>
                <w:spacing w:val="-1"/>
                <w:sz w:val="22"/>
                <w:szCs w:val="22"/>
                <w:lang w:val="es-MX" w:eastAsia="en-US"/>
              </w:rPr>
              <w:t xml:space="preserve">ambos </w:t>
            </w:r>
            <w:r>
              <w:rPr>
                <w:rFonts w:asciiTheme="minorHAnsi" w:eastAsia="Arial" w:hAnsiTheme="minorHAnsi" w:cstheme="minorHAnsi"/>
                <w:color w:val="000000"/>
                <w:spacing w:val="-1"/>
                <w:sz w:val="22"/>
                <w:szCs w:val="22"/>
                <w:lang w:val="es-MX" w:eastAsia="en-US"/>
              </w:rPr>
              <w:t>caso</w:t>
            </w:r>
            <w:r w:rsidR="004546A4">
              <w:rPr>
                <w:rFonts w:asciiTheme="minorHAnsi" w:eastAsia="Arial" w:hAnsiTheme="minorHAnsi" w:cstheme="minorHAnsi"/>
                <w:color w:val="000000"/>
                <w:spacing w:val="-1"/>
                <w:sz w:val="22"/>
                <w:szCs w:val="22"/>
                <w:lang w:val="es-MX" w:eastAsia="en-US"/>
              </w:rPr>
              <w:t>s</w:t>
            </w:r>
            <w:r w:rsidRPr="006843FF">
              <w:rPr>
                <w:rFonts w:asciiTheme="minorHAnsi" w:eastAsia="Arial" w:hAnsiTheme="minorHAnsi" w:cstheme="minorHAnsi"/>
                <w:color w:val="000000"/>
                <w:spacing w:val="-1"/>
                <w:sz w:val="22"/>
                <w:szCs w:val="22"/>
                <w:lang w:val="es-MX" w:eastAsia="en-US"/>
              </w:rPr>
              <w:t xml:space="preserve"> se deberá considerar la que represente el mayor nivel de riesgo entre las calificaciones emitidas por al menos dos Agencias Calificadoras.</w:t>
            </w:r>
          </w:p>
        </w:tc>
      </w:tr>
      <w:tr w:rsidR="00AF6ECC" w:rsidRPr="006843FF" w14:paraId="46FA66E9"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363F802B" w14:textId="77777777" w:rsidR="00AF6ECC" w:rsidRPr="006843FF" w:rsidRDefault="00AF6ECC" w:rsidP="00682B6D">
            <w:pPr>
              <w:spacing w:line="240" w:lineRule="auto"/>
              <w:rPr>
                <w:rFonts w:asciiTheme="minorHAnsi" w:eastAsiaTheme="minorHAnsi" w:hAnsiTheme="minorHAnsi" w:cstheme="minorHAnsi"/>
                <w:b/>
                <w:spacing w:val="0"/>
                <w:sz w:val="22"/>
                <w:szCs w:val="22"/>
                <w:lang w:val="es-MX"/>
              </w:rPr>
            </w:pPr>
            <w:r w:rsidRPr="006843FF">
              <w:rPr>
                <w:rFonts w:asciiTheme="minorHAnsi" w:hAnsiTheme="minorHAnsi" w:cstheme="minorHAnsi"/>
                <w:b/>
                <w:sz w:val="22"/>
                <w:szCs w:val="22"/>
                <w:lang w:val="es-MX"/>
              </w:rPr>
              <w:t>Tasa de Referencia:</w:t>
            </w:r>
          </w:p>
        </w:tc>
        <w:tc>
          <w:tcPr>
            <w:tcW w:w="5805" w:type="dxa"/>
            <w:tcBorders>
              <w:top w:val="single" w:sz="4" w:space="0" w:color="auto"/>
              <w:left w:val="single" w:sz="4" w:space="0" w:color="auto"/>
              <w:bottom w:val="single" w:sz="4" w:space="0" w:color="auto"/>
              <w:right w:val="single" w:sz="4" w:space="0" w:color="auto"/>
            </w:tcBorders>
          </w:tcPr>
          <w:p w14:paraId="3D24C731" w14:textId="4ACF19E1" w:rsidR="00AF6ECC" w:rsidRPr="006843FF" w:rsidRDefault="0056327C" w:rsidP="00B81281">
            <w:pPr>
              <w:pStyle w:val="Sinespaciado1"/>
              <w:rPr>
                <w:rFonts w:asciiTheme="minorHAnsi" w:hAnsiTheme="minorHAnsi" w:cstheme="minorHAnsi"/>
                <w:sz w:val="22"/>
                <w:szCs w:val="22"/>
                <w:lang w:val="es-MX"/>
              </w:rPr>
            </w:pPr>
            <w:r>
              <w:rPr>
                <w:rFonts w:asciiTheme="minorHAnsi" w:hAnsiTheme="minorHAnsi"/>
                <w:sz w:val="22"/>
                <w:szCs w:val="22"/>
                <w:lang w:val="es-MX"/>
              </w:rPr>
              <w:t>L</w:t>
            </w:r>
            <w:r w:rsidRPr="001B0AD5">
              <w:rPr>
                <w:rFonts w:asciiTheme="minorHAnsi" w:hAnsiTheme="minorHAnsi"/>
                <w:sz w:val="22"/>
                <w:szCs w:val="22"/>
                <w:lang w:val="es-MX"/>
              </w:rPr>
              <w:t xml:space="preserve">a </w:t>
            </w:r>
            <w:r w:rsidRPr="00B81281">
              <w:rPr>
                <w:rFonts w:asciiTheme="minorHAnsi" w:hAnsiTheme="minorHAnsi"/>
                <w:sz w:val="22"/>
                <w:lang w:val="es-MX"/>
              </w:rPr>
              <w:t xml:space="preserve">Tasa de Interés Interbancaria de Equilibrio </w:t>
            </w:r>
            <w:bookmarkStart w:id="1" w:name="_Hlk17414843"/>
            <w:r w:rsidRPr="001B0AD5">
              <w:rPr>
                <w:rFonts w:asciiTheme="minorHAnsi" w:hAnsiTheme="minorHAnsi"/>
                <w:sz w:val="22"/>
                <w:szCs w:val="22"/>
                <w:lang w:val="es-MX"/>
              </w:rPr>
              <w:t>que periódicamente publica</w:t>
            </w:r>
            <w:r w:rsidRPr="00B81281">
              <w:rPr>
                <w:rFonts w:asciiTheme="minorHAnsi" w:hAnsiTheme="minorHAnsi"/>
                <w:sz w:val="22"/>
                <w:lang w:val="es-MX"/>
              </w:rPr>
              <w:t xml:space="preserve"> el Banco de México en el Diario Oficial de la Federación, </w:t>
            </w:r>
            <w:r w:rsidRPr="001B0AD5">
              <w:rPr>
                <w:rFonts w:asciiTheme="minorHAnsi" w:hAnsiTheme="minorHAnsi"/>
                <w:sz w:val="22"/>
                <w:szCs w:val="22"/>
                <w:lang w:val="es-MX"/>
              </w:rPr>
              <w:t>en el entendido que para el cálculo de los intereses de la Garantía se tomará como base la TIIE a plazo de 28 (</w:t>
            </w:r>
            <w:r w:rsidRPr="001B0AD5">
              <w:rPr>
                <w:rFonts w:asciiTheme="minorHAnsi" w:hAnsiTheme="minorHAnsi"/>
                <w:color w:val="000000"/>
                <w:sz w:val="22"/>
                <w:szCs w:val="22"/>
                <w:lang w:val="es-MX"/>
              </w:rPr>
              <w:t xml:space="preserve">veintiocho) </w:t>
            </w:r>
            <w:r w:rsidRPr="001B0AD5">
              <w:rPr>
                <w:rFonts w:asciiTheme="minorHAnsi" w:hAnsiTheme="minorHAnsi"/>
                <w:sz w:val="22"/>
                <w:szCs w:val="22"/>
                <w:lang w:val="es-MX"/>
              </w:rPr>
              <w:t xml:space="preserve">Días, publicada el Día Hábil </w:t>
            </w:r>
            <w:r>
              <w:rPr>
                <w:rFonts w:asciiTheme="minorHAnsi" w:hAnsiTheme="minorHAnsi"/>
                <w:sz w:val="22"/>
                <w:szCs w:val="22"/>
                <w:lang w:val="es-MX"/>
              </w:rPr>
              <w:t>[</w:t>
            </w:r>
            <w:r w:rsidRPr="001B0AD5">
              <w:rPr>
                <w:rFonts w:asciiTheme="minorHAnsi" w:hAnsiTheme="minorHAnsi"/>
                <w:sz w:val="22"/>
                <w:szCs w:val="22"/>
                <w:lang w:val="es-MX"/>
              </w:rPr>
              <w:t>de</w:t>
            </w:r>
            <w:r w:rsidRPr="00B81281">
              <w:rPr>
                <w:rFonts w:asciiTheme="minorHAnsi" w:hAnsiTheme="minorHAnsi"/>
                <w:sz w:val="22"/>
                <w:lang w:val="es-MX"/>
              </w:rPr>
              <w:t xml:space="preserve"> inicio</w:t>
            </w:r>
            <w:r>
              <w:rPr>
                <w:rFonts w:asciiTheme="minorHAnsi" w:hAnsiTheme="minorHAnsi"/>
                <w:sz w:val="22"/>
                <w:szCs w:val="22"/>
                <w:lang w:val="es-MX"/>
              </w:rPr>
              <w:t>] o [inmediato anterior al inicio]</w:t>
            </w:r>
            <w:r w:rsidRPr="00B81281">
              <w:rPr>
                <w:rFonts w:asciiTheme="minorHAnsi" w:hAnsiTheme="minorHAnsi"/>
                <w:sz w:val="22"/>
                <w:lang w:val="es-MX"/>
              </w:rPr>
              <w:t xml:space="preserve"> del Periodo de Intereses</w:t>
            </w:r>
            <w:bookmarkEnd w:id="1"/>
            <w:r w:rsidRPr="001B0AD5">
              <w:rPr>
                <w:rFonts w:asciiTheme="minorHAnsi" w:hAnsiTheme="minorHAnsi"/>
                <w:sz w:val="22"/>
                <w:szCs w:val="22"/>
                <w:lang w:val="es-MX"/>
              </w:rPr>
              <w:t xml:space="preserve"> de que se trate o, en su defecto, la inmediata anterior publicada a plazo de 26 (</w:t>
            </w:r>
            <w:r w:rsidRPr="001B0AD5">
              <w:rPr>
                <w:rFonts w:asciiTheme="minorHAnsi" w:hAnsiTheme="minorHAnsi"/>
                <w:color w:val="000000"/>
                <w:sz w:val="22"/>
                <w:szCs w:val="22"/>
                <w:lang w:val="es-MX"/>
              </w:rPr>
              <w:t>veintiséis)</w:t>
            </w:r>
            <w:r w:rsidRPr="001B0AD5">
              <w:rPr>
                <w:rFonts w:asciiTheme="minorHAnsi" w:hAnsiTheme="minorHAnsi"/>
                <w:sz w:val="22"/>
                <w:szCs w:val="22"/>
                <w:lang w:val="es-MX"/>
              </w:rPr>
              <w:t>, 27 (</w:t>
            </w:r>
            <w:r w:rsidRPr="001B0AD5">
              <w:rPr>
                <w:rFonts w:asciiTheme="minorHAnsi" w:hAnsiTheme="minorHAnsi"/>
                <w:color w:val="000000"/>
                <w:sz w:val="22"/>
                <w:szCs w:val="22"/>
                <w:lang w:val="es-MX"/>
              </w:rPr>
              <w:t>veintisiete) o</w:t>
            </w:r>
            <w:r w:rsidRPr="001B0AD5">
              <w:rPr>
                <w:rFonts w:asciiTheme="minorHAnsi" w:hAnsiTheme="minorHAnsi"/>
                <w:sz w:val="22"/>
                <w:szCs w:val="22"/>
                <w:lang w:val="es-MX"/>
              </w:rPr>
              <w:t xml:space="preserve"> 29 (</w:t>
            </w:r>
            <w:r w:rsidRPr="001B0AD5">
              <w:rPr>
                <w:rFonts w:asciiTheme="minorHAnsi" w:hAnsiTheme="minorHAnsi"/>
                <w:color w:val="000000"/>
                <w:sz w:val="22"/>
                <w:szCs w:val="22"/>
                <w:lang w:val="es-MX"/>
              </w:rPr>
              <w:t xml:space="preserve">veintinueve) </w:t>
            </w:r>
            <w:r w:rsidRPr="001B0AD5">
              <w:rPr>
                <w:rFonts w:asciiTheme="minorHAnsi" w:hAnsiTheme="minorHAnsi"/>
                <w:sz w:val="22"/>
                <w:szCs w:val="22"/>
                <w:lang w:val="es-MX"/>
              </w:rPr>
              <w:t>Días</w:t>
            </w:r>
            <w:r>
              <w:rPr>
                <w:rFonts w:asciiTheme="minorHAnsi" w:hAnsiTheme="minorHAnsi"/>
                <w:sz w:val="22"/>
                <w:szCs w:val="22"/>
                <w:lang w:val="es-MX"/>
              </w:rPr>
              <w:t xml:space="preserve">. En el caso de desaparición de este indicador, serán aplicables </w:t>
            </w:r>
            <w:r w:rsidR="00526781" w:rsidRPr="007A5174">
              <w:rPr>
                <w:rFonts w:asciiTheme="minorHAnsi" w:hAnsiTheme="minorHAnsi" w:cstheme="minorHAnsi"/>
                <w:sz w:val="22"/>
                <w:szCs w:val="22"/>
                <w:lang w:val="es-MX" w:eastAsia="en-US"/>
              </w:rPr>
              <w:t xml:space="preserve">los indicadores que lo sustituyan </w:t>
            </w:r>
            <w:r>
              <w:rPr>
                <w:rFonts w:asciiTheme="minorHAnsi" w:hAnsiTheme="minorHAnsi" w:cstheme="minorHAnsi"/>
                <w:sz w:val="22"/>
                <w:szCs w:val="22"/>
                <w:lang w:val="es-MX" w:eastAsia="en-US"/>
              </w:rPr>
              <w:t>en los términos previstos en la Cláusula Novena del Modelo de Contrato de Garantía</w:t>
            </w:r>
            <w:r w:rsidR="00526781" w:rsidRPr="007A5174">
              <w:rPr>
                <w:rFonts w:asciiTheme="minorHAnsi" w:hAnsiTheme="minorHAnsi" w:cstheme="minorHAnsi"/>
                <w:sz w:val="22"/>
                <w:szCs w:val="22"/>
                <w:lang w:val="es-MX" w:eastAsia="en-US"/>
              </w:rPr>
              <w:t>.</w:t>
            </w:r>
          </w:p>
        </w:tc>
      </w:tr>
      <w:tr w:rsidR="00AF6ECC" w:rsidRPr="006843FF" w14:paraId="1F461395" w14:textId="77777777" w:rsidTr="00682B6D">
        <w:tc>
          <w:tcPr>
            <w:tcW w:w="2694" w:type="dxa"/>
            <w:tcBorders>
              <w:top w:val="single" w:sz="4" w:space="0" w:color="auto"/>
              <w:left w:val="single" w:sz="4" w:space="0" w:color="auto"/>
              <w:bottom w:val="single" w:sz="4" w:space="0" w:color="auto"/>
              <w:right w:val="single" w:sz="4" w:space="0" w:color="auto"/>
            </w:tcBorders>
          </w:tcPr>
          <w:p w14:paraId="0F4AD6C2" w14:textId="06209C1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Periodicidad de pago de intereses:</w:t>
            </w:r>
          </w:p>
        </w:tc>
        <w:tc>
          <w:tcPr>
            <w:tcW w:w="5805" w:type="dxa"/>
            <w:tcBorders>
              <w:top w:val="single" w:sz="4" w:space="0" w:color="auto"/>
              <w:left w:val="single" w:sz="4" w:space="0" w:color="auto"/>
              <w:bottom w:val="single" w:sz="4" w:space="0" w:color="auto"/>
              <w:right w:val="single" w:sz="4" w:space="0" w:color="auto"/>
            </w:tcBorders>
          </w:tcPr>
          <w:p w14:paraId="451D8959" w14:textId="77777777" w:rsidR="00AF6ECC" w:rsidRPr="006843FF" w:rsidRDefault="00AF6ECC" w:rsidP="00682B6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Mensual.</w:t>
            </w:r>
          </w:p>
          <w:p w14:paraId="192AF001" w14:textId="77777777" w:rsidR="00AF6ECC" w:rsidRPr="006843FF" w:rsidRDefault="00AF6ECC" w:rsidP="00682B6D">
            <w:pPr>
              <w:pStyle w:val="Sinespaciado1"/>
              <w:rPr>
                <w:rFonts w:asciiTheme="minorHAnsi" w:hAnsiTheme="minorHAnsi" w:cstheme="minorHAnsi"/>
                <w:sz w:val="22"/>
                <w:szCs w:val="22"/>
                <w:lang w:val="es-MX" w:eastAsia="en-US"/>
              </w:rPr>
            </w:pPr>
          </w:p>
        </w:tc>
      </w:tr>
      <w:tr w:rsidR="00AF6ECC" w:rsidRPr="006843FF" w14:paraId="07311F2A" w14:textId="77777777" w:rsidTr="00682B6D">
        <w:tc>
          <w:tcPr>
            <w:tcW w:w="2694" w:type="dxa"/>
            <w:tcBorders>
              <w:top w:val="single" w:sz="4" w:space="0" w:color="auto"/>
              <w:left w:val="single" w:sz="4" w:space="0" w:color="auto"/>
              <w:bottom w:val="single" w:sz="4" w:space="0" w:color="auto"/>
              <w:right w:val="single" w:sz="4" w:space="0" w:color="auto"/>
            </w:tcBorders>
          </w:tcPr>
          <w:p w14:paraId="5E69FDF7" w14:textId="77777777" w:rsidR="00AF6ECC" w:rsidRPr="006843FF" w:rsidRDefault="00AF6ECC" w:rsidP="00682B6D">
            <w:pPr>
              <w:spacing w:line="240" w:lineRule="auto"/>
              <w:jc w:val="left"/>
              <w:rPr>
                <w:rFonts w:asciiTheme="minorHAnsi" w:hAnsiTheme="minorHAnsi" w:cstheme="minorHAnsi"/>
                <w:b/>
                <w:sz w:val="22"/>
                <w:szCs w:val="22"/>
                <w:lang w:val="es-MX"/>
              </w:rPr>
            </w:pPr>
            <w:r>
              <w:rPr>
                <w:rFonts w:asciiTheme="minorHAnsi" w:hAnsiTheme="minorHAnsi" w:cstheme="minorHAnsi"/>
                <w:b/>
                <w:sz w:val="22"/>
                <w:szCs w:val="22"/>
                <w:lang w:val="es-MX"/>
              </w:rPr>
              <w:t>Condiciones de disposición:</w:t>
            </w:r>
          </w:p>
        </w:tc>
        <w:tc>
          <w:tcPr>
            <w:tcW w:w="5805" w:type="dxa"/>
            <w:tcBorders>
              <w:top w:val="single" w:sz="4" w:space="0" w:color="auto"/>
              <w:left w:val="single" w:sz="4" w:space="0" w:color="auto"/>
              <w:bottom w:val="single" w:sz="4" w:space="0" w:color="auto"/>
              <w:right w:val="single" w:sz="4" w:space="0" w:color="auto"/>
            </w:tcBorders>
          </w:tcPr>
          <w:p w14:paraId="2340C779" w14:textId="77777777" w:rsidR="00AF6ECC" w:rsidRPr="006843FF" w:rsidRDefault="00AF6ECC" w:rsidP="00682B6D">
            <w:pPr>
              <w:pStyle w:val="Sinespaciado1"/>
              <w:rPr>
                <w:rFonts w:asciiTheme="minorHAnsi" w:hAnsiTheme="minorHAnsi" w:cstheme="minorHAnsi"/>
                <w:sz w:val="22"/>
                <w:szCs w:val="22"/>
                <w:lang w:val="es-MX" w:eastAsia="en-US"/>
              </w:rPr>
            </w:pPr>
            <w:r w:rsidRPr="004244CB">
              <w:rPr>
                <w:rFonts w:asciiTheme="minorHAnsi" w:eastAsia="Arial" w:hAnsiTheme="minorHAnsi" w:cstheme="minorHAnsi"/>
                <w:color w:val="000000"/>
                <w:spacing w:val="-1"/>
                <w:sz w:val="22"/>
                <w:szCs w:val="22"/>
                <w:lang w:val="es-MX"/>
              </w:rPr>
              <w:t xml:space="preserve">Una vez iniciado el Periodo de Disposición, a través de una o varias disposiciones, </w:t>
            </w:r>
            <w:r w:rsidRPr="006843FF">
              <w:rPr>
                <w:rFonts w:asciiTheme="minorHAnsi" w:hAnsiTheme="minorHAnsi" w:cstheme="minorHAnsi"/>
                <w:sz w:val="22"/>
                <w:szCs w:val="22"/>
                <w:lang w:val="es-MX" w:eastAsia="en-US"/>
              </w:rPr>
              <w:t>por parte del fiduciario del Fideicomiso Maestro</w:t>
            </w:r>
            <w:r w:rsidRPr="004244CB">
              <w:rPr>
                <w:rFonts w:asciiTheme="minorHAnsi" w:eastAsia="Arial" w:hAnsiTheme="minorHAnsi" w:cstheme="minorHAnsi"/>
                <w:color w:val="000000"/>
                <w:spacing w:val="-1"/>
                <w:sz w:val="22"/>
                <w:szCs w:val="22"/>
                <w:lang w:val="es-MX"/>
              </w:rPr>
              <w:t xml:space="preserve"> </w:t>
            </w:r>
            <w:r>
              <w:rPr>
                <w:rFonts w:asciiTheme="minorHAnsi" w:eastAsia="Arial" w:hAnsiTheme="minorHAnsi" w:cstheme="minorHAnsi"/>
                <w:color w:val="000000"/>
                <w:spacing w:val="-1"/>
                <w:sz w:val="22"/>
                <w:szCs w:val="22"/>
                <w:lang w:val="es-MX"/>
              </w:rPr>
              <w:t>en términos del Contrato de Garantía.</w:t>
            </w:r>
          </w:p>
        </w:tc>
      </w:tr>
      <w:tr w:rsidR="00AF6ECC" w:rsidRPr="006843FF" w14:paraId="12E54254"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02853633"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Oportunidad de entrega de los recursos:</w:t>
            </w:r>
          </w:p>
        </w:tc>
        <w:tc>
          <w:tcPr>
            <w:tcW w:w="5805" w:type="dxa"/>
            <w:tcBorders>
              <w:top w:val="single" w:sz="4" w:space="0" w:color="auto"/>
              <w:left w:val="single" w:sz="4" w:space="0" w:color="auto"/>
              <w:bottom w:val="single" w:sz="4" w:space="0" w:color="auto"/>
              <w:right w:val="single" w:sz="4" w:space="0" w:color="auto"/>
            </w:tcBorders>
          </w:tcPr>
          <w:p w14:paraId="4B7CEEE2" w14:textId="2C10DF8B" w:rsidR="00AF6ECC" w:rsidRPr="006843FF" w:rsidRDefault="00AF6ECC" w:rsidP="00682B6D">
            <w:pPr>
              <w:pStyle w:val="Sinespaciado1"/>
              <w:rPr>
                <w:rFonts w:asciiTheme="minorHAnsi" w:hAnsiTheme="minorHAnsi" w:cstheme="minorHAnsi"/>
                <w:sz w:val="22"/>
                <w:szCs w:val="22"/>
                <w:lang w:val="es-MX" w:eastAsia="en-US"/>
              </w:rPr>
            </w:pPr>
            <w:r w:rsidRPr="006843FF">
              <w:rPr>
                <w:rFonts w:asciiTheme="minorHAnsi" w:hAnsiTheme="minorHAnsi" w:cstheme="minorHAnsi"/>
                <w:sz w:val="22"/>
                <w:szCs w:val="22"/>
                <w:lang w:val="es-MX" w:eastAsia="en-US"/>
              </w:rPr>
              <w:t xml:space="preserve">Dentro de los 3 (tres) Días Hábiles siguientes a la entrega de la solicitud de desembolso por parte del fiduciario del Fideicomiso Maestro. </w:t>
            </w:r>
          </w:p>
        </w:tc>
      </w:tr>
      <w:tr w:rsidR="00AF6ECC" w:rsidRPr="006843FF" w14:paraId="10F3D873" w14:textId="77777777" w:rsidTr="00682B6D">
        <w:tc>
          <w:tcPr>
            <w:tcW w:w="2694" w:type="dxa"/>
            <w:tcBorders>
              <w:top w:val="single" w:sz="4" w:space="0" w:color="auto"/>
              <w:left w:val="single" w:sz="4" w:space="0" w:color="auto"/>
              <w:bottom w:val="single" w:sz="4" w:space="0" w:color="auto"/>
              <w:right w:val="single" w:sz="4" w:space="0" w:color="auto"/>
            </w:tcBorders>
          </w:tcPr>
          <w:p w14:paraId="002E3C0E" w14:textId="77777777" w:rsidR="00AF6ECC" w:rsidRPr="006843FF" w:rsidRDefault="00AF6ECC" w:rsidP="00682B6D">
            <w:pPr>
              <w:spacing w:line="240" w:lineRule="auto"/>
              <w:jc w:val="left"/>
              <w:rPr>
                <w:rFonts w:asciiTheme="minorHAnsi" w:hAnsiTheme="minorHAnsi" w:cstheme="minorHAnsi"/>
                <w:b/>
                <w:sz w:val="22"/>
                <w:szCs w:val="22"/>
                <w:lang w:val="es-MX"/>
              </w:rPr>
            </w:pPr>
            <w:r w:rsidRPr="006843FF">
              <w:rPr>
                <w:rFonts w:asciiTheme="minorHAnsi" w:hAnsiTheme="minorHAnsi" w:cstheme="minorHAnsi"/>
                <w:b/>
                <w:sz w:val="22"/>
                <w:szCs w:val="22"/>
                <w:lang w:val="es-MX"/>
              </w:rPr>
              <w:t>Fuente de pago de la Garantía:</w:t>
            </w:r>
          </w:p>
          <w:p w14:paraId="08C286A8" w14:textId="77777777" w:rsidR="00AF6ECC" w:rsidRPr="006843FF" w:rsidRDefault="00AF6ECC" w:rsidP="00682B6D">
            <w:pPr>
              <w:spacing w:line="240" w:lineRule="auto"/>
              <w:rPr>
                <w:rFonts w:asciiTheme="minorHAnsi" w:hAnsiTheme="minorHAnsi" w:cstheme="minorHAnsi"/>
                <w:b/>
                <w:sz w:val="22"/>
                <w:szCs w:val="22"/>
                <w:lang w:val="es-MX"/>
              </w:rPr>
            </w:pPr>
          </w:p>
        </w:tc>
        <w:tc>
          <w:tcPr>
            <w:tcW w:w="5805" w:type="dxa"/>
            <w:tcBorders>
              <w:top w:val="single" w:sz="4" w:space="0" w:color="auto"/>
              <w:left w:val="single" w:sz="4" w:space="0" w:color="auto"/>
              <w:bottom w:val="single" w:sz="4" w:space="0" w:color="auto"/>
              <w:right w:val="single" w:sz="4" w:space="0" w:color="auto"/>
            </w:tcBorders>
          </w:tcPr>
          <w:p w14:paraId="29B49CE5" w14:textId="1E5CB263" w:rsidR="00AF6ECC" w:rsidRPr="0056327C" w:rsidRDefault="00AF6ECC" w:rsidP="00682B6D">
            <w:pPr>
              <w:spacing w:line="240" w:lineRule="auto"/>
              <w:rPr>
                <w:rFonts w:asciiTheme="minorHAnsi" w:eastAsia="Arial" w:hAnsiTheme="minorHAnsi" w:cstheme="minorHAnsi"/>
                <w:bCs/>
                <w:sz w:val="22"/>
                <w:szCs w:val="22"/>
                <w:lang w:val="es-MX"/>
              </w:rPr>
            </w:pPr>
            <w:r w:rsidRPr="006843FF">
              <w:rPr>
                <w:rFonts w:asciiTheme="minorHAnsi" w:eastAsia="Arial" w:hAnsiTheme="minorHAnsi" w:cstheme="minorHAnsi"/>
                <w:bCs/>
                <w:sz w:val="22"/>
                <w:szCs w:val="22"/>
                <w:lang w:val="es-MX"/>
              </w:rPr>
              <w:t>El Porcentaje de Participaciones que el Crédito Garantizado tenga como fuente de pago, con la prelación prevista en el Fideicomiso Maestro.</w:t>
            </w:r>
          </w:p>
        </w:tc>
      </w:tr>
      <w:tr w:rsidR="00AF6ECC" w:rsidRPr="006843FF" w14:paraId="428FE5EF" w14:textId="77777777" w:rsidTr="00682B6D">
        <w:tc>
          <w:tcPr>
            <w:tcW w:w="2694" w:type="dxa"/>
            <w:tcBorders>
              <w:top w:val="single" w:sz="4" w:space="0" w:color="auto"/>
              <w:left w:val="single" w:sz="4" w:space="0" w:color="auto"/>
              <w:bottom w:val="single" w:sz="4" w:space="0" w:color="auto"/>
              <w:right w:val="single" w:sz="4" w:space="0" w:color="auto"/>
            </w:tcBorders>
            <w:hideMark/>
          </w:tcPr>
          <w:p w14:paraId="75C36125" w14:textId="77777777" w:rsidR="00AF6ECC" w:rsidRPr="006843FF" w:rsidRDefault="00AF6ECC" w:rsidP="00682B6D">
            <w:pPr>
              <w:spacing w:line="240" w:lineRule="auto"/>
              <w:rPr>
                <w:rFonts w:asciiTheme="minorHAnsi" w:hAnsiTheme="minorHAnsi" w:cstheme="minorHAnsi"/>
                <w:b/>
                <w:sz w:val="22"/>
                <w:szCs w:val="22"/>
                <w:lang w:val="es-MX"/>
              </w:rPr>
            </w:pPr>
            <w:r w:rsidRPr="006843FF">
              <w:rPr>
                <w:rFonts w:asciiTheme="minorHAnsi" w:hAnsiTheme="minorHAnsi" w:cstheme="minorHAnsi"/>
                <w:b/>
                <w:sz w:val="22"/>
                <w:szCs w:val="22"/>
                <w:lang w:val="es-MX"/>
              </w:rPr>
              <w:t>Vehículo de pago:</w:t>
            </w:r>
          </w:p>
        </w:tc>
        <w:tc>
          <w:tcPr>
            <w:tcW w:w="5805" w:type="dxa"/>
            <w:tcBorders>
              <w:top w:val="single" w:sz="4" w:space="0" w:color="auto"/>
              <w:left w:val="single" w:sz="4" w:space="0" w:color="auto"/>
              <w:bottom w:val="single" w:sz="4" w:space="0" w:color="auto"/>
              <w:right w:val="single" w:sz="4" w:space="0" w:color="auto"/>
            </w:tcBorders>
          </w:tcPr>
          <w:p w14:paraId="6372B4D3" w14:textId="085B6CAA" w:rsidR="00AF6ECC" w:rsidRPr="006843FF" w:rsidRDefault="00C737B7" w:rsidP="00C737B7">
            <w:pPr>
              <w:spacing w:line="240" w:lineRule="auto"/>
              <w:rPr>
                <w:rFonts w:asciiTheme="minorHAnsi" w:eastAsia="Arial" w:hAnsiTheme="minorHAnsi" w:cstheme="minorHAnsi"/>
                <w:sz w:val="22"/>
                <w:szCs w:val="22"/>
                <w:lang w:val="es-MX"/>
              </w:rPr>
            </w:pPr>
            <w:r w:rsidRPr="006843FF">
              <w:rPr>
                <w:rFonts w:asciiTheme="minorHAnsi" w:hAnsiTheme="minorHAnsi" w:cstheme="minorHAnsi"/>
                <w:sz w:val="22"/>
                <w:szCs w:val="22"/>
                <w:lang w:val="es-MX"/>
              </w:rPr>
              <w:t xml:space="preserve">El contrato de fideicomiso maestro, irrevocable de administración y fuente de pago que, en términos del Modelo de Fideicomiso Maestro, celebre el Estado, en calidad de Fideicomitente y Fideicomisario en Segundo Lugar, con la institución de crédito de su elección como </w:t>
            </w:r>
            <w:r w:rsidRPr="006843FF">
              <w:rPr>
                <w:rFonts w:asciiTheme="minorHAnsi" w:hAnsiTheme="minorHAnsi" w:cstheme="minorHAnsi"/>
                <w:sz w:val="22"/>
                <w:szCs w:val="22"/>
                <w:lang w:val="es-MX"/>
              </w:rPr>
              <w:lastRenderedPageBreak/>
              <w:t xml:space="preserve">Fiduciario, a cuyo patrimonio se afectará, entre otros ingresos y derechos, las Participaciones Fideicomitidas, para que sirva como fuente de pago de los Créditos, de los instrumentos de intercambio de </w:t>
            </w:r>
            <w:r w:rsidR="008E0B2C">
              <w:rPr>
                <w:rFonts w:asciiTheme="minorHAnsi" w:hAnsiTheme="minorHAnsi" w:cstheme="minorHAnsi"/>
                <w:sz w:val="22"/>
                <w:szCs w:val="22"/>
                <w:lang w:val="es-MX"/>
              </w:rPr>
              <w:t>tasas</w:t>
            </w:r>
            <w:r w:rsidR="008E0B2C" w:rsidRPr="006843FF">
              <w:rPr>
                <w:rFonts w:asciiTheme="minorHAnsi" w:hAnsiTheme="minorHAnsi" w:cstheme="minorHAnsi"/>
                <w:sz w:val="22"/>
                <w:szCs w:val="22"/>
                <w:lang w:val="es-MX"/>
              </w:rPr>
              <w:t xml:space="preserve"> </w:t>
            </w:r>
            <w:r w:rsidRPr="006843FF">
              <w:rPr>
                <w:rFonts w:asciiTheme="minorHAnsi" w:hAnsiTheme="minorHAnsi" w:cstheme="minorHAnsi"/>
                <w:sz w:val="22"/>
                <w:szCs w:val="22"/>
                <w:lang w:val="es-MX"/>
              </w:rPr>
              <w:t xml:space="preserve">y de las Garantías que, en su caso, celebre el Estado, en el cual los </w:t>
            </w:r>
            <w:r>
              <w:rPr>
                <w:rFonts w:asciiTheme="minorHAnsi" w:hAnsiTheme="minorHAnsi" w:cstheme="minorHAnsi"/>
                <w:sz w:val="22"/>
                <w:szCs w:val="22"/>
                <w:lang w:val="es-MX"/>
              </w:rPr>
              <w:t xml:space="preserve">Acreedores, Contrapartes y Garantes (según dichos términos se definen en el Modelo de Fideicomiso Maestro) </w:t>
            </w:r>
            <w:r w:rsidRPr="006843FF">
              <w:rPr>
                <w:rFonts w:asciiTheme="minorHAnsi" w:hAnsiTheme="minorHAnsi" w:cstheme="minorHAnsi"/>
                <w:sz w:val="22"/>
                <w:szCs w:val="22"/>
                <w:lang w:val="es-MX"/>
              </w:rPr>
              <w:t>tendrán la calidad de Fideicomisarios en Primer Lugar, conforme a la prelación establecida en el mi</w:t>
            </w:r>
            <w:r w:rsidR="007B7EE9">
              <w:rPr>
                <w:rFonts w:asciiTheme="minorHAnsi" w:hAnsiTheme="minorHAnsi" w:cstheme="minorHAnsi"/>
                <w:sz w:val="22"/>
                <w:szCs w:val="22"/>
                <w:lang w:val="es-MX"/>
              </w:rPr>
              <w:t>s</w:t>
            </w:r>
            <w:r w:rsidRPr="006843FF">
              <w:rPr>
                <w:rFonts w:asciiTheme="minorHAnsi" w:hAnsiTheme="minorHAnsi" w:cstheme="minorHAnsi"/>
                <w:sz w:val="22"/>
                <w:szCs w:val="22"/>
                <w:lang w:val="es-MX"/>
              </w:rPr>
              <w:t>mo y previo cumplimiento de los requisitos correspondientes para la inscripción de sus respectivos contratos.</w:t>
            </w:r>
          </w:p>
        </w:tc>
      </w:tr>
    </w:tbl>
    <w:p w14:paraId="2574CF27" w14:textId="77777777" w:rsidR="00AF6ECC" w:rsidRPr="00EF170F" w:rsidRDefault="00AF6ECC" w:rsidP="00AF6ECC">
      <w:pPr>
        <w:spacing w:line="240" w:lineRule="auto"/>
        <w:ind w:hanging="426"/>
        <w:rPr>
          <w:rFonts w:asciiTheme="minorHAnsi" w:hAnsiTheme="minorHAnsi" w:cstheme="minorHAnsi"/>
          <w:sz w:val="22"/>
          <w:szCs w:val="22"/>
        </w:rPr>
      </w:pPr>
    </w:p>
    <w:p w14:paraId="0D3BD008"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El Licitante, a través de su representante, manifiesta bajo protesta de decir verdad, que:</w:t>
      </w:r>
    </w:p>
    <w:p w14:paraId="4AA8739C" w14:textId="77777777" w:rsidR="00AF6ECC" w:rsidRPr="006843FF" w:rsidRDefault="00AF6ECC" w:rsidP="00AF6ECC">
      <w:pPr>
        <w:spacing w:line="240" w:lineRule="auto"/>
        <w:ind w:hanging="426"/>
        <w:rPr>
          <w:rFonts w:asciiTheme="minorHAnsi" w:hAnsiTheme="minorHAnsi" w:cstheme="minorHAnsi"/>
          <w:sz w:val="22"/>
          <w:szCs w:val="22"/>
        </w:rPr>
      </w:pPr>
    </w:p>
    <w:p w14:paraId="3B68040F" w14:textId="36647812"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(a)</w:t>
      </w:r>
      <w:r w:rsidRPr="006843FF">
        <w:rPr>
          <w:rFonts w:asciiTheme="minorHAnsi" w:hAnsiTheme="minorHAnsi" w:cstheme="minorHAnsi"/>
          <w:sz w:val="22"/>
          <w:szCs w:val="22"/>
        </w:rPr>
        <w:tab/>
        <w:t>[</w:t>
      </w:r>
      <w:r w:rsidRPr="006843FF">
        <w:rPr>
          <w:rFonts w:asciiTheme="minorHAnsi" w:hAnsiTheme="minorHAnsi" w:cstheme="minorHAnsi"/>
          <w:i/>
          <w:sz w:val="22"/>
          <w:szCs w:val="22"/>
        </w:rPr>
        <w:t>Nombre de la Institución</w:t>
      </w:r>
      <w:r w:rsidRPr="006843FF">
        <w:rPr>
          <w:rFonts w:asciiTheme="minorHAnsi" w:hAnsiTheme="minorHAnsi" w:cstheme="minorHAnsi"/>
          <w:sz w:val="22"/>
          <w:szCs w:val="22"/>
        </w:rPr>
        <w:t xml:space="preserve">] es una sociedad mexicana, autorizada para operar como institución de crédito, en términos de sus estatutos sociales, se encuentra dentro de su objeto celebrar operaciones como el Contrato de </w:t>
      </w:r>
      <w:r w:rsidR="00156D4C">
        <w:rPr>
          <w:rFonts w:asciiTheme="minorHAnsi" w:hAnsiTheme="minorHAnsi" w:cstheme="minorHAnsi"/>
          <w:sz w:val="22"/>
          <w:szCs w:val="22"/>
        </w:rPr>
        <w:t>Garantía</w:t>
      </w:r>
      <w:r w:rsidR="00156D4C" w:rsidRPr="006843FF">
        <w:rPr>
          <w:rFonts w:asciiTheme="minorHAnsi" w:hAnsiTheme="minorHAnsi" w:cstheme="minorHAnsi"/>
          <w:sz w:val="22"/>
          <w:szCs w:val="22"/>
        </w:rPr>
        <w:t xml:space="preserve"> </w:t>
      </w:r>
      <w:r w:rsidRPr="006843FF">
        <w:rPr>
          <w:rFonts w:asciiTheme="minorHAnsi" w:hAnsiTheme="minorHAnsi" w:cstheme="minorHAnsi"/>
          <w:sz w:val="22"/>
          <w:szCs w:val="22"/>
        </w:rPr>
        <w:t xml:space="preserve">en los términos de la Licitación. </w:t>
      </w:r>
      <w:r w:rsidRPr="006843FF">
        <w:rPr>
          <w:rFonts w:asciiTheme="minorHAnsi" w:hAnsiTheme="minorHAnsi" w:cstheme="minorHAnsi"/>
          <w:i/>
          <w:sz w:val="22"/>
          <w:szCs w:val="22"/>
        </w:rPr>
        <w:t>[en el caso de sociedades nacionales de crédito, adaptar la declaración con los datos de la ley de creación].</w:t>
      </w:r>
    </w:p>
    <w:p w14:paraId="20708BDE" w14:textId="77777777" w:rsidR="00AF6ECC" w:rsidRPr="006843FF" w:rsidRDefault="00AF6ECC" w:rsidP="00AF6ECC">
      <w:pPr>
        <w:pStyle w:val="Default"/>
        <w:jc w:val="both"/>
        <w:rPr>
          <w:rFonts w:asciiTheme="minorHAnsi" w:hAnsiTheme="minorHAnsi" w:cstheme="minorHAnsi"/>
          <w:sz w:val="22"/>
          <w:szCs w:val="22"/>
        </w:rPr>
      </w:pPr>
    </w:p>
    <w:p w14:paraId="18B28404" w14:textId="77777777"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(b)</w:t>
      </w:r>
      <w:r w:rsidRPr="006843FF">
        <w:rPr>
          <w:rFonts w:asciiTheme="minorHAnsi" w:hAnsiTheme="minorHAnsi" w:cstheme="minorHAnsi"/>
          <w:sz w:val="22"/>
          <w:szCs w:val="22"/>
        </w:rPr>
        <w:tab/>
        <w:t>Sus órganos internos competentes autorizaron la Oferta de Garantía en los términos contenidos en el presente documento, la cual constituye una oferta en firme, vinculante e irrevocable, con una vigencia de 90 (noventa) días naturales, contados a partir de su fecha de presentación en el Acto de Presentación y Apertura de Ofertas.</w:t>
      </w:r>
    </w:p>
    <w:p w14:paraId="137F420E" w14:textId="77777777" w:rsidR="00AF6ECC" w:rsidRPr="006843FF" w:rsidRDefault="00AF6ECC" w:rsidP="00AF6ECC">
      <w:pPr>
        <w:pStyle w:val="Default"/>
        <w:ind w:left="567" w:hanging="567"/>
        <w:jc w:val="both"/>
        <w:rPr>
          <w:rFonts w:asciiTheme="minorHAnsi" w:hAnsiTheme="minorHAnsi" w:cstheme="minorHAnsi"/>
          <w:sz w:val="22"/>
          <w:szCs w:val="22"/>
        </w:rPr>
      </w:pPr>
    </w:p>
    <w:p w14:paraId="1415DA32" w14:textId="77777777"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(c)</w:t>
      </w:r>
      <w:r w:rsidRPr="006843FF">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2560721A" w14:textId="77777777" w:rsidR="00AF6ECC" w:rsidRPr="006843FF" w:rsidRDefault="00AF6ECC" w:rsidP="00AF6ECC">
      <w:pPr>
        <w:pStyle w:val="Default"/>
        <w:ind w:left="567" w:hanging="567"/>
        <w:jc w:val="both"/>
        <w:rPr>
          <w:rFonts w:asciiTheme="minorHAnsi" w:hAnsiTheme="minorHAnsi" w:cstheme="minorHAnsi"/>
          <w:sz w:val="22"/>
          <w:szCs w:val="22"/>
        </w:rPr>
      </w:pPr>
    </w:p>
    <w:p w14:paraId="0006234B" w14:textId="77777777"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(d)</w:t>
      </w:r>
      <w:r w:rsidRPr="006843FF">
        <w:rPr>
          <w:rFonts w:asciiTheme="minorHAnsi" w:hAnsiTheme="minorHAnsi" w:cstheme="minorHAnsi"/>
          <w:sz w:val="22"/>
          <w:szCs w:val="22"/>
        </w:rPr>
        <w:tab/>
        <w:t>Su representante tiene facultades suficientes para representarla y presentar esta Oferta de Garantía, las cuales no le han sido revocadas, modificadas o limitadas en forma alguna.</w:t>
      </w:r>
    </w:p>
    <w:p w14:paraId="0684B18B" w14:textId="77777777" w:rsidR="00AF6ECC" w:rsidRPr="006843FF" w:rsidRDefault="00AF6ECC" w:rsidP="00AF6ECC">
      <w:pPr>
        <w:pStyle w:val="Default"/>
        <w:ind w:left="567" w:hanging="567"/>
        <w:jc w:val="both"/>
        <w:rPr>
          <w:rFonts w:asciiTheme="minorHAnsi" w:hAnsiTheme="minorHAnsi" w:cstheme="minorHAnsi"/>
          <w:sz w:val="22"/>
          <w:szCs w:val="22"/>
        </w:rPr>
      </w:pPr>
    </w:p>
    <w:p w14:paraId="2B9BC4F1" w14:textId="77777777" w:rsidR="00AF6ECC" w:rsidRPr="006843FF" w:rsidRDefault="00AF6ECC" w:rsidP="00AF6ECC">
      <w:pPr>
        <w:pStyle w:val="Default"/>
        <w:ind w:left="567" w:hanging="567"/>
        <w:jc w:val="both"/>
        <w:rPr>
          <w:rFonts w:asciiTheme="minorHAnsi" w:hAnsiTheme="minorHAnsi" w:cstheme="minorHAnsi"/>
          <w:sz w:val="22"/>
          <w:szCs w:val="22"/>
        </w:rPr>
      </w:pPr>
      <w:r w:rsidRPr="006843FF">
        <w:rPr>
          <w:rFonts w:asciiTheme="minorHAnsi" w:hAnsiTheme="minorHAnsi" w:cstheme="minorHAnsi"/>
          <w:sz w:val="22"/>
          <w:szCs w:val="22"/>
        </w:rPr>
        <w:t>(e)</w:t>
      </w:r>
      <w:r w:rsidRPr="006843FF">
        <w:rPr>
          <w:rFonts w:asciiTheme="minorHAnsi" w:hAnsiTheme="minorHAnsi" w:cstheme="minorHAnsi"/>
          <w:sz w:val="22"/>
          <w:szCs w:val="22"/>
        </w:rPr>
        <w:tab/>
        <w:t>No se encuentra impedida para contratar con el Estado, de conformidad con las Leyes Aplicables.</w:t>
      </w:r>
    </w:p>
    <w:p w14:paraId="11DF0F77" w14:textId="77777777" w:rsidR="00AF6ECC" w:rsidRPr="006843FF" w:rsidRDefault="00AF6ECC" w:rsidP="00AF6ECC">
      <w:pPr>
        <w:pStyle w:val="Default"/>
        <w:jc w:val="both"/>
        <w:rPr>
          <w:rFonts w:asciiTheme="minorHAnsi" w:hAnsiTheme="minorHAnsi" w:cstheme="minorHAnsi"/>
          <w:sz w:val="22"/>
          <w:szCs w:val="22"/>
        </w:rPr>
      </w:pPr>
    </w:p>
    <w:p w14:paraId="3560F530" w14:textId="77777777" w:rsidR="00AF6ECC" w:rsidRPr="006843FF" w:rsidRDefault="00AF6ECC" w:rsidP="00AF6ECC">
      <w:pPr>
        <w:pStyle w:val="Default"/>
        <w:jc w:val="both"/>
        <w:rPr>
          <w:rFonts w:asciiTheme="minorHAnsi" w:hAnsiTheme="minorHAnsi" w:cstheme="minorHAnsi"/>
          <w:sz w:val="22"/>
          <w:szCs w:val="22"/>
        </w:rPr>
      </w:pPr>
      <w:r w:rsidRPr="006843FF">
        <w:rPr>
          <w:rFonts w:asciiTheme="minorHAnsi" w:hAnsiTheme="minorHAnsi" w:cstheme="minorHAnsi"/>
          <w:sz w:val="22"/>
          <w:szCs w:val="22"/>
        </w:rPr>
        <w:t xml:space="preserve">A la Oferta de Garantía se adjunta la siguiente documentación: </w:t>
      </w:r>
    </w:p>
    <w:p w14:paraId="63AB0BAD" w14:textId="77777777" w:rsidR="00AF6ECC" w:rsidRPr="006843FF" w:rsidRDefault="00AF6ECC" w:rsidP="00AF6ECC">
      <w:pPr>
        <w:pStyle w:val="Default"/>
        <w:jc w:val="both"/>
        <w:rPr>
          <w:rFonts w:asciiTheme="minorHAnsi" w:hAnsiTheme="minorHAnsi" w:cstheme="minorHAnsi"/>
          <w:sz w:val="22"/>
          <w:szCs w:val="22"/>
        </w:rPr>
      </w:pPr>
    </w:p>
    <w:p w14:paraId="33EBD280" w14:textId="77777777" w:rsidR="00AF6ECC" w:rsidRPr="006843FF" w:rsidRDefault="00AF6ECC" w:rsidP="00AF6ECC">
      <w:pPr>
        <w:numPr>
          <w:ilvl w:val="0"/>
          <w:numId w:val="1"/>
        </w:numPr>
        <w:spacing w:line="240" w:lineRule="auto"/>
        <w:rPr>
          <w:rFonts w:asciiTheme="minorHAnsi" w:hAnsiTheme="minorHAnsi" w:cstheme="minorHAnsi"/>
          <w:color w:val="000000"/>
          <w:sz w:val="22"/>
          <w:szCs w:val="22"/>
        </w:rPr>
      </w:pPr>
      <w:r w:rsidRPr="006843FF">
        <w:rPr>
          <w:rFonts w:asciiTheme="minorHAnsi" w:hAnsiTheme="minorHAnsi" w:cstheme="minorHAnsi"/>
          <w:color w:val="000000"/>
          <w:sz w:val="22"/>
          <w:szCs w:val="22"/>
        </w:rPr>
        <w:t>Modelo de Contrato de Garantía debidamente rubricado por el representante legal</w:t>
      </w:r>
      <w:r w:rsidRPr="006843FF">
        <w:rPr>
          <w:rStyle w:val="Refdenotaalpie"/>
          <w:rFonts w:asciiTheme="minorHAnsi" w:eastAsia="Arial" w:hAnsiTheme="minorHAnsi" w:cstheme="minorHAnsi"/>
          <w:spacing w:val="-1"/>
          <w:sz w:val="22"/>
          <w:szCs w:val="22"/>
        </w:rPr>
        <w:footnoteReference w:id="6"/>
      </w:r>
      <w:r w:rsidRPr="006843FF">
        <w:rPr>
          <w:rFonts w:asciiTheme="minorHAnsi" w:hAnsiTheme="minorHAnsi" w:cstheme="minorHAnsi"/>
          <w:color w:val="000000"/>
          <w:sz w:val="22"/>
          <w:szCs w:val="22"/>
        </w:rPr>
        <w:t xml:space="preserve">. </w:t>
      </w:r>
    </w:p>
    <w:p w14:paraId="78F74C7E" w14:textId="77777777" w:rsidR="00AF6ECC" w:rsidRPr="006843FF" w:rsidRDefault="00AF6ECC" w:rsidP="00AF6ECC">
      <w:pPr>
        <w:spacing w:line="240" w:lineRule="auto"/>
        <w:rPr>
          <w:rFonts w:asciiTheme="minorHAnsi" w:hAnsiTheme="minorHAnsi" w:cstheme="minorHAnsi"/>
          <w:iCs/>
          <w:color w:val="000000"/>
          <w:sz w:val="22"/>
          <w:szCs w:val="22"/>
        </w:rPr>
      </w:pPr>
    </w:p>
    <w:p w14:paraId="423E6F5D" w14:textId="77777777" w:rsidR="00AF6ECC" w:rsidRPr="006843FF" w:rsidRDefault="00AF6ECC" w:rsidP="00AF6ECC">
      <w:pPr>
        <w:numPr>
          <w:ilvl w:val="0"/>
          <w:numId w:val="1"/>
        </w:numPr>
        <w:spacing w:line="240" w:lineRule="auto"/>
        <w:rPr>
          <w:rFonts w:asciiTheme="minorHAnsi" w:hAnsiTheme="minorHAnsi" w:cstheme="minorHAnsi"/>
          <w:iCs/>
          <w:color w:val="000000"/>
          <w:sz w:val="22"/>
          <w:szCs w:val="22"/>
        </w:rPr>
      </w:pPr>
      <w:r w:rsidRPr="006843FF">
        <w:rPr>
          <w:rFonts w:asciiTheme="minorHAnsi" w:hAnsiTheme="minorHAnsi" w:cstheme="minorHAnsi"/>
          <w:iCs/>
          <w:color w:val="000000"/>
          <w:sz w:val="22"/>
          <w:szCs w:val="22"/>
        </w:rPr>
        <w:t>Copia simple del acta constitutiva y de los estatutos sociales vigentes del Licitante, [</w:t>
      </w:r>
      <w:r w:rsidRPr="006843FF">
        <w:rPr>
          <w:rFonts w:asciiTheme="minorHAnsi" w:hAnsiTheme="minorHAnsi" w:cstheme="minorHAnsi"/>
          <w:i/>
          <w:color w:val="000000"/>
          <w:sz w:val="22"/>
          <w:szCs w:val="22"/>
        </w:rPr>
        <w:t>en su caso, copia simple de la Ley Orgánica o la Ley de Creación vigente, en caso de que el Licitante sea una institución de banca de desarrollo</w:t>
      </w:r>
      <w:r w:rsidRPr="006843FF">
        <w:rPr>
          <w:rFonts w:asciiTheme="minorHAnsi" w:hAnsiTheme="minorHAnsi" w:cstheme="minorHAnsi"/>
          <w:iCs/>
          <w:color w:val="000000"/>
          <w:sz w:val="22"/>
          <w:szCs w:val="22"/>
        </w:rPr>
        <w:t>].</w:t>
      </w:r>
    </w:p>
    <w:p w14:paraId="70432AB5" w14:textId="77777777" w:rsidR="00AF6ECC" w:rsidRPr="006843FF" w:rsidRDefault="00AF6ECC" w:rsidP="00AF6ECC">
      <w:pPr>
        <w:spacing w:line="240" w:lineRule="auto"/>
        <w:ind w:left="720"/>
        <w:rPr>
          <w:rFonts w:asciiTheme="minorHAnsi" w:hAnsiTheme="minorHAnsi" w:cstheme="minorHAnsi"/>
          <w:iCs/>
          <w:color w:val="000000"/>
          <w:sz w:val="22"/>
          <w:szCs w:val="22"/>
        </w:rPr>
      </w:pPr>
    </w:p>
    <w:p w14:paraId="5BCA5F7B" w14:textId="77777777" w:rsidR="00AF6ECC" w:rsidRPr="006843FF" w:rsidRDefault="00AF6ECC" w:rsidP="00AF6ECC">
      <w:pPr>
        <w:numPr>
          <w:ilvl w:val="0"/>
          <w:numId w:val="1"/>
        </w:numPr>
        <w:spacing w:line="240" w:lineRule="auto"/>
        <w:rPr>
          <w:rFonts w:asciiTheme="minorHAnsi" w:hAnsiTheme="minorHAnsi" w:cstheme="minorHAnsi"/>
          <w:iCs/>
          <w:color w:val="000000"/>
          <w:sz w:val="22"/>
          <w:szCs w:val="22"/>
        </w:rPr>
      </w:pPr>
      <w:r w:rsidRPr="006843FF">
        <w:rPr>
          <w:rFonts w:asciiTheme="minorHAnsi" w:hAnsiTheme="minorHAnsi" w:cstheme="minorHAnsi"/>
          <w:iCs/>
          <w:color w:val="000000"/>
          <w:sz w:val="22"/>
          <w:szCs w:val="22"/>
        </w:rPr>
        <w:t xml:space="preserve">Copia simple del poder que acredite las facultades del representante del Licitante para suscribir la Oferta de </w:t>
      </w:r>
      <w:r w:rsidRPr="006843FF">
        <w:rPr>
          <w:rFonts w:asciiTheme="minorHAnsi" w:hAnsiTheme="minorHAnsi" w:cstheme="minorHAnsi"/>
          <w:color w:val="000000"/>
          <w:sz w:val="22"/>
          <w:szCs w:val="22"/>
        </w:rPr>
        <w:t>Garantía</w:t>
      </w:r>
      <w:r w:rsidRPr="006843FF">
        <w:rPr>
          <w:rFonts w:asciiTheme="minorHAnsi" w:hAnsiTheme="minorHAnsi" w:cstheme="minorHAnsi"/>
          <w:iCs/>
          <w:color w:val="000000"/>
          <w:sz w:val="22"/>
          <w:szCs w:val="22"/>
        </w:rPr>
        <w:t xml:space="preserve">. </w:t>
      </w:r>
    </w:p>
    <w:p w14:paraId="7DBDEA17" w14:textId="77777777" w:rsidR="00AF6ECC" w:rsidRPr="006843FF" w:rsidRDefault="00AF6ECC" w:rsidP="00AF6ECC">
      <w:pPr>
        <w:spacing w:line="240" w:lineRule="auto"/>
        <w:ind w:left="284"/>
        <w:rPr>
          <w:rFonts w:asciiTheme="minorHAnsi" w:hAnsiTheme="minorHAnsi" w:cstheme="minorHAnsi"/>
          <w:iCs/>
          <w:color w:val="000000"/>
          <w:sz w:val="22"/>
          <w:szCs w:val="22"/>
        </w:rPr>
      </w:pPr>
    </w:p>
    <w:p w14:paraId="79CA7095" w14:textId="77777777" w:rsidR="00AF6ECC" w:rsidRPr="006843FF" w:rsidRDefault="00AF6ECC" w:rsidP="00AF6ECC">
      <w:pPr>
        <w:numPr>
          <w:ilvl w:val="0"/>
          <w:numId w:val="1"/>
        </w:numPr>
        <w:spacing w:line="240" w:lineRule="auto"/>
        <w:rPr>
          <w:rFonts w:asciiTheme="minorHAnsi" w:hAnsiTheme="minorHAnsi" w:cstheme="minorHAnsi"/>
          <w:iCs/>
          <w:color w:val="000000"/>
          <w:sz w:val="22"/>
          <w:szCs w:val="22"/>
        </w:rPr>
      </w:pPr>
      <w:r w:rsidRPr="006843FF">
        <w:rPr>
          <w:rFonts w:asciiTheme="minorHAnsi" w:hAnsiTheme="minorHAnsi" w:cstheme="minorHAnsi"/>
          <w:iCs/>
          <w:color w:val="000000"/>
          <w:sz w:val="22"/>
          <w:szCs w:val="22"/>
        </w:rPr>
        <w:lastRenderedPageBreak/>
        <w:t>Copia de la identificación oficial vigente del representante que suscribió la Oferta.</w:t>
      </w:r>
    </w:p>
    <w:p w14:paraId="664E0AA0" w14:textId="77777777" w:rsidR="00AF6ECC" w:rsidRPr="006843FF" w:rsidRDefault="00AF6ECC" w:rsidP="00AF6ECC">
      <w:pPr>
        <w:spacing w:line="240" w:lineRule="auto"/>
        <w:ind w:left="284"/>
        <w:rPr>
          <w:rFonts w:asciiTheme="minorHAnsi" w:hAnsiTheme="minorHAnsi" w:cstheme="minorHAnsi"/>
          <w:iCs/>
          <w:color w:val="000000"/>
          <w:sz w:val="22"/>
          <w:szCs w:val="22"/>
        </w:rPr>
      </w:pPr>
    </w:p>
    <w:p w14:paraId="5AFA77C3"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La Institución Financiera señala los siguientes datos de contacto, para efectos de cualquier notificación en relación con el proceso de la Licitación Pública:</w:t>
      </w:r>
    </w:p>
    <w:p w14:paraId="55D1534C" w14:textId="77777777" w:rsidR="00AF6ECC" w:rsidRPr="006843FF" w:rsidRDefault="00AF6ECC" w:rsidP="00AF6ECC">
      <w:pPr>
        <w:spacing w:line="240" w:lineRule="auto"/>
        <w:rPr>
          <w:rFonts w:asciiTheme="minorHAnsi" w:hAnsiTheme="minorHAnsi" w:cstheme="minorHAnsi"/>
          <w:sz w:val="22"/>
          <w:szCs w:val="22"/>
        </w:rPr>
      </w:pPr>
    </w:p>
    <w:p w14:paraId="5A75742F"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 xml:space="preserve">Atención a: </w:t>
      </w:r>
      <w:r w:rsidRPr="006843FF">
        <w:rPr>
          <w:rFonts w:asciiTheme="minorHAnsi" w:hAnsiTheme="minorHAnsi" w:cstheme="minorHAnsi"/>
          <w:sz w:val="22"/>
          <w:szCs w:val="22"/>
        </w:rPr>
        <w:tab/>
      </w:r>
      <w:r w:rsidRPr="006843FF">
        <w:rPr>
          <w:rFonts w:asciiTheme="minorHAnsi" w:hAnsiTheme="minorHAnsi" w:cstheme="minorHAnsi"/>
          <w:sz w:val="22"/>
          <w:szCs w:val="22"/>
        </w:rPr>
        <w:tab/>
        <w:t>[●].</w:t>
      </w:r>
    </w:p>
    <w:p w14:paraId="66F7064A"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Correo electrónico:</w:t>
      </w:r>
      <w:r w:rsidRPr="006843FF">
        <w:rPr>
          <w:rFonts w:asciiTheme="minorHAnsi" w:hAnsiTheme="minorHAnsi" w:cstheme="minorHAnsi"/>
          <w:sz w:val="22"/>
          <w:szCs w:val="22"/>
        </w:rPr>
        <w:tab/>
        <w:t>[●]</w:t>
      </w:r>
    </w:p>
    <w:p w14:paraId="2DB92F35" w14:textId="77777777" w:rsidR="00AF6ECC" w:rsidRPr="006843FF" w:rsidRDefault="00AF6ECC" w:rsidP="00AF6ECC">
      <w:pPr>
        <w:spacing w:line="240" w:lineRule="auto"/>
        <w:rPr>
          <w:rFonts w:asciiTheme="minorHAnsi" w:hAnsiTheme="minorHAnsi" w:cstheme="minorHAnsi"/>
          <w:sz w:val="22"/>
          <w:szCs w:val="22"/>
        </w:rPr>
      </w:pPr>
      <w:r w:rsidRPr="006843FF">
        <w:rPr>
          <w:rFonts w:asciiTheme="minorHAnsi" w:hAnsiTheme="minorHAnsi" w:cstheme="minorHAnsi"/>
          <w:sz w:val="22"/>
          <w:szCs w:val="22"/>
        </w:rPr>
        <w:t>Domicilio:</w:t>
      </w:r>
      <w:r w:rsidRPr="006843FF">
        <w:rPr>
          <w:rFonts w:asciiTheme="minorHAnsi" w:hAnsiTheme="minorHAnsi" w:cstheme="minorHAnsi"/>
          <w:sz w:val="22"/>
          <w:szCs w:val="22"/>
        </w:rPr>
        <w:tab/>
      </w:r>
      <w:r w:rsidRPr="006843FF">
        <w:rPr>
          <w:rFonts w:asciiTheme="minorHAnsi" w:hAnsiTheme="minorHAnsi" w:cstheme="minorHAnsi"/>
          <w:sz w:val="22"/>
          <w:szCs w:val="22"/>
        </w:rPr>
        <w:tab/>
        <w:t>[●].</w:t>
      </w:r>
    </w:p>
    <w:p w14:paraId="3454D46E" w14:textId="77777777" w:rsidR="00AF6ECC" w:rsidRPr="006843FF" w:rsidRDefault="00AF6ECC" w:rsidP="00AF6ECC">
      <w:pPr>
        <w:spacing w:line="240" w:lineRule="auto"/>
        <w:rPr>
          <w:rFonts w:asciiTheme="minorHAnsi" w:hAnsiTheme="minorHAnsi" w:cstheme="minorHAnsi"/>
          <w:sz w:val="22"/>
          <w:szCs w:val="22"/>
          <w:lang w:val="pt-BR"/>
        </w:rPr>
      </w:pPr>
      <w:r w:rsidRPr="006843FF">
        <w:rPr>
          <w:rFonts w:asciiTheme="minorHAnsi" w:hAnsiTheme="minorHAnsi" w:cstheme="minorHAnsi"/>
          <w:sz w:val="22"/>
          <w:szCs w:val="22"/>
        </w:rPr>
        <w:t>Teléfono</w:t>
      </w:r>
      <w:r w:rsidRPr="006843FF">
        <w:rPr>
          <w:rFonts w:asciiTheme="minorHAnsi" w:hAnsiTheme="minorHAnsi" w:cstheme="minorHAnsi"/>
          <w:sz w:val="22"/>
          <w:szCs w:val="22"/>
          <w:lang w:val="pt-BR"/>
        </w:rPr>
        <w:t xml:space="preserve">: </w:t>
      </w:r>
      <w:r w:rsidRPr="006843FF">
        <w:rPr>
          <w:rFonts w:asciiTheme="minorHAnsi" w:hAnsiTheme="minorHAnsi" w:cstheme="minorHAnsi"/>
          <w:sz w:val="22"/>
          <w:szCs w:val="22"/>
          <w:lang w:val="pt-BR"/>
        </w:rPr>
        <w:tab/>
      </w:r>
      <w:r w:rsidRPr="006843FF">
        <w:rPr>
          <w:rFonts w:asciiTheme="minorHAnsi" w:hAnsiTheme="minorHAnsi" w:cstheme="minorHAnsi"/>
          <w:sz w:val="22"/>
          <w:szCs w:val="22"/>
          <w:lang w:val="pt-BR"/>
        </w:rPr>
        <w:tab/>
        <w:t>[●].</w:t>
      </w:r>
    </w:p>
    <w:p w14:paraId="35664113" w14:textId="77777777" w:rsidR="00AF6ECC" w:rsidRPr="006843FF" w:rsidRDefault="00AF6ECC" w:rsidP="00AF6ECC">
      <w:pPr>
        <w:spacing w:line="240" w:lineRule="auto"/>
        <w:jc w:val="center"/>
        <w:rPr>
          <w:rFonts w:asciiTheme="minorHAnsi" w:hAnsiTheme="minorHAnsi" w:cstheme="minorHAnsi"/>
          <w:sz w:val="22"/>
          <w:szCs w:val="22"/>
          <w:lang w:val="pt-BR"/>
        </w:rPr>
      </w:pPr>
    </w:p>
    <w:p w14:paraId="2EDB49D3" w14:textId="77777777" w:rsidR="00AF6ECC" w:rsidRPr="006843FF" w:rsidRDefault="00AF6ECC" w:rsidP="00AF6ECC">
      <w:pPr>
        <w:spacing w:line="240" w:lineRule="auto"/>
        <w:jc w:val="center"/>
        <w:rPr>
          <w:rFonts w:asciiTheme="minorHAnsi" w:hAnsiTheme="minorHAnsi" w:cstheme="minorHAnsi"/>
          <w:sz w:val="22"/>
          <w:szCs w:val="22"/>
          <w:lang w:val="pt-BR"/>
        </w:rPr>
      </w:pPr>
      <w:r w:rsidRPr="006843FF">
        <w:rPr>
          <w:rFonts w:asciiTheme="minorHAnsi" w:hAnsiTheme="minorHAnsi" w:cstheme="minorHAnsi"/>
          <w:sz w:val="22"/>
          <w:szCs w:val="22"/>
          <w:lang w:val="pt-BR"/>
        </w:rPr>
        <w:t>A t e n t a m e n t e,</w:t>
      </w:r>
    </w:p>
    <w:p w14:paraId="2DABE7EA" w14:textId="77777777" w:rsidR="00AF6ECC" w:rsidRPr="006843FF" w:rsidRDefault="00AF6ECC" w:rsidP="00AF6ECC">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Nombre de la Institución Financiera</w:t>
      </w:r>
    </w:p>
    <w:p w14:paraId="36ECC1B1" w14:textId="77777777" w:rsidR="00AF6ECC" w:rsidRPr="006843FF" w:rsidRDefault="00AF6ECC" w:rsidP="00AF6ECC">
      <w:pPr>
        <w:spacing w:line="240" w:lineRule="auto"/>
        <w:jc w:val="center"/>
        <w:rPr>
          <w:rFonts w:asciiTheme="minorHAnsi" w:hAnsiTheme="minorHAnsi" w:cstheme="minorHAnsi"/>
          <w:sz w:val="22"/>
          <w:szCs w:val="22"/>
          <w:lang w:val="es-MX"/>
        </w:rPr>
      </w:pPr>
    </w:p>
    <w:p w14:paraId="33CF7A4B" w14:textId="77777777" w:rsidR="00AF6ECC" w:rsidRPr="006843FF" w:rsidRDefault="00AF6ECC" w:rsidP="00AF6ECC">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____________________________</w:t>
      </w:r>
    </w:p>
    <w:p w14:paraId="399364AA" w14:textId="77777777" w:rsidR="00AF6ECC" w:rsidRPr="006843FF" w:rsidRDefault="00AF6ECC" w:rsidP="00AF6ECC">
      <w:pPr>
        <w:spacing w:line="240" w:lineRule="auto"/>
        <w:jc w:val="center"/>
        <w:rPr>
          <w:rFonts w:asciiTheme="minorHAnsi" w:hAnsiTheme="minorHAnsi" w:cstheme="minorHAnsi"/>
          <w:sz w:val="22"/>
          <w:szCs w:val="22"/>
        </w:rPr>
      </w:pPr>
      <w:r w:rsidRPr="006843FF">
        <w:rPr>
          <w:rFonts w:asciiTheme="minorHAnsi" w:hAnsiTheme="minorHAnsi" w:cstheme="minorHAnsi"/>
          <w:sz w:val="22"/>
          <w:szCs w:val="22"/>
        </w:rPr>
        <w:t>[●]</w:t>
      </w:r>
    </w:p>
    <w:p w14:paraId="6689AA4B" w14:textId="5F72F24F" w:rsidR="00AF6ECC" w:rsidRPr="00B81281" w:rsidRDefault="00AF6ECC" w:rsidP="00B81281">
      <w:pPr>
        <w:spacing w:line="240" w:lineRule="auto"/>
        <w:jc w:val="center"/>
        <w:rPr>
          <w:rFonts w:asciiTheme="minorHAnsi" w:hAnsiTheme="minorHAnsi"/>
          <w:sz w:val="22"/>
        </w:rPr>
      </w:pPr>
      <w:r w:rsidRPr="006843FF">
        <w:rPr>
          <w:rFonts w:asciiTheme="minorHAnsi" w:hAnsiTheme="minorHAnsi" w:cstheme="minorHAnsi"/>
          <w:sz w:val="22"/>
          <w:szCs w:val="22"/>
        </w:rPr>
        <w:t>Representante legal</w:t>
      </w:r>
      <w:r w:rsidRPr="006843FF">
        <w:rPr>
          <w:rStyle w:val="Refdenotaalpie"/>
          <w:rFonts w:asciiTheme="minorHAnsi" w:hAnsiTheme="minorHAnsi" w:cstheme="minorHAnsi"/>
          <w:sz w:val="22"/>
          <w:szCs w:val="22"/>
        </w:rPr>
        <w:footnoteReference w:id="7"/>
      </w:r>
    </w:p>
    <w:sectPr w:rsidR="00AF6ECC" w:rsidRPr="00B81281" w:rsidSect="00B81281">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E43D1" w14:textId="77777777" w:rsidR="00BB2627" w:rsidRDefault="00BB2627" w:rsidP="00AF6ECC">
      <w:pPr>
        <w:spacing w:line="240" w:lineRule="auto"/>
      </w:pPr>
      <w:r>
        <w:separator/>
      </w:r>
    </w:p>
  </w:endnote>
  <w:endnote w:type="continuationSeparator" w:id="0">
    <w:p w14:paraId="51B983B4" w14:textId="77777777" w:rsidR="00BB2627" w:rsidRDefault="00BB2627" w:rsidP="00AF6ECC">
      <w:pPr>
        <w:spacing w:line="240" w:lineRule="auto"/>
      </w:pPr>
      <w:r>
        <w:continuationSeparator/>
      </w:r>
    </w:p>
  </w:endnote>
  <w:endnote w:type="continuationNotice" w:id="1">
    <w:p w14:paraId="42CA823D" w14:textId="77777777" w:rsidR="00BB2627" w:rsidRDefault="00BB26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FCFAE" w14:textId="36DE6711" w:rsidR="007B7EE9" w:rsidRDefault="007B7E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1F42" w14:textId="77777777" w:rsidR="00BB2627" w:rsidRDefault="00BB2627" w:rsidP="00AF6ECC">
      <w:pPr>
        <w:spacing w:line="240" w:lineRule="auto"/>
      </w:pPr>
      <w:r>
        <w:separator/>
      </w:r>
    </w:p>
  </w:footnote>
  <w:footnote w:type="continuationSeparator" w:id="0">
    <w:p w14:paraId="3B9CDD22" w14:textId="77777777" w:rsidR="00BB2627" w:rsidRDefault="00BB2627" w:rsidP="00AF6ECC">
      <w:pPr>
        <w:spacing w:line="240" w:lineRule="auto"/>
      </w:pPr>
      <w:r>
        <w:continuationSeparator/>
      </w:r>
    </w:p>
  </w:footnote>
  <w:footnote w:type="continuationNotice" w:id="1">
    <w:p w14:paraId="18A431D3" w14:textId="77777777" w:rsidR="00BB2627" w:rsidRDefault="00BB2627">
      <w:pPr>
        <w:spacing w:line="240" w:lineRule="auto"/>
      </w:pPr>
    </w:p>
  </w:footnote>
  <w:footnote w:id="2">
    <w:p w14:paraId="4CE20417" w14:textId="77777777" w:rsidR="00AF6ECC" w:rsidRDefault="00AF6ECC" w:rsidP="00AF6ECC">
      <w:pPr>
        <w:pStyle w:val="Textonotapie"/>
      </w:pPr>
      <w:r>
        <w:rPr>
          <w:rStyle w:val="Refdenotaalpie"/>
        </w:rPr>
        <w:footnoteRef/>
      </w:r>
      <w:r>
        <w:t xml:space="preserve"> </w:t>
      </w:r>
      <w:r w:rsidRPr="009B2546">
        <w:rPr>
          <w:rFonts w:asciiTheme="minorHAnsi" w:hAnsiTheme="minorHAnsi"/>
          <w:sz w:val="18"/>
          <w:szCs w:val="18"/>
        </w:rPr>
        <w:t>En su caso, el Licitante podrá incrementar el plazo de la vigencia de la Oferta, en el entendido que no podrá ser menor a 90 (noventa) días naturales.</w:t>
      </w:r>
    </w:p>
  </w:footnote>
  <w:footnote w:id="3">
    <w:p w14:paraId="15C3B64F" w14:textId="77777777" w:rsidR="00AF6ECC" w:rsidRPr="00CE4057" w:rsidRDefault="00AF6ECC" w:rsidP="00AF6ECC">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Se refiere a las calificaciones en escala nacional. Los Licitantes que no acepten a las Agencias Calificadoras incluidas en el cuadro podrán eliminar la columna correspondiente a las Agencias Calificadoras que no les resulten aceptables.</w:t>
      </w:r>
    </w:p>
  </w:footnote>
  <w:footnote w:id="4">
    <w:p w14:paraId="1035A0E9" w14:textId="77777777" w:rsidR="00AF6ECC" w:rsidRPr="00CE4057" w:rsidRDefault="00AF6ECC" w:rsidP="00AF6ECC">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Aplicables sobre el Monto Expuesto.</w:t>
      </w:r>
    </w:p>
  </w:footnote>
  <w:footnote w:id="5">
    <w:p w14:paraId="746AC490" w14:textId="77777777" w:rsidR="00AF6ECC" w:rsidRPr="00CE4057" w:rsidRDefault="00AF6ECC" w:rsidP="00AF6ECC">
      <w:pPr>
        <w:pStyle w:val="Textonotapie"/>
        <w:jc w:val="both"/>
        <w:rPr>
          <w:rFonts w:asciiTheme="minorHAnsi" w:hAnsiTheme="minorHAnsi" w:cstheme="minorHAnsi"/>
          <w:sz w:val="18"/>
          <w:szCs w:val="18"/>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6">
    <w:p w14:paraId="3F03B1D0" w14:textId="77777777" w:rsidR="00AF6ECC" w:rsidRPr="00CE4057" w:rsidRDefault="00AF6ECC" w:rsidP="00AF6ECC">
      <w:pPr>
        <w:pStyle w:val="Textonotapie"/>
        <w:jc w:val="both"/>
        <w:rPr>
          <w:rFonts w:asciiTheme="minorHAnsi" w:hAnsiTheme="minorHAnsi" w:cstheme="minorHAnsi"/>
          <w:sz w:val="18"/>
          <w:szCs w:val="18"/>
          <w:lang w:val="es-419"/>
        </w:rPr>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E</w:t>
      </w:r>
      <w:r w:rsidRPr="00CE4057">
        <w:rPr>
          <w:rFonts w:asciiTheme="minorHAnsi" w:hAnsiTheme="minorHAnsi" w:cstheme="minorHAnsi"/>
          <w:sz w:val="18"/>
          <w:szCs w:val="18"/>
          <w:lang w:val="es-419"/>
        </w:rPr>
        <w:t xml:space="preserve">l Modelo de Contrato de Garantía que se adjunte a la Oferta deberá ser a última versión publicada en la Página Oficial de la </w:t>
      </w:r>
      <w:r>
        <w:rPr>
          <w:rFonts w:asciiTheme="minorHAnsi" w:hAnsiTheme="minorHAnsi" w:cstheme="minorHAnsi"/>
          <w:sz w:val="18"/>
          <w:szCs w:val="18"/>
          <w:lang w:val="es-419"/>
        </w:rPr>
        <w:t>Licitación</w:t>
      </w:r>
      <w:r w:rsidRPr="00CE4057">
        <w:rPr>
          <w:rFonts w:asciiTheme="minorHAnsi" w:hAnsiTheme="minorHAnsi" w:cstheme="minorHAnsi"/>
          <w:sz w:val="18"/>
          <w:szCs w:val="18"/>
          <w:lang w:val="es-419"/>
        </w:rPr>
        <w:t>.</w:t>
      </w:r>
    </w:p>
  </w:footnote>
  <w:footnote w:id="7">
    <w:p w14:paraId="0BC948D0" w14:textId="77777777" w:rsidR="00AF6ECC" w:rsidRDefault="00AF6ECC" w:rsidP="00AF6ECC">
      <w:pPr>
        <w:pStyle w:val="Textonotapie"/>
        <w:jc w:val="both"/>
      </w:pPr>
      <w:r w:rsidRPr="00CE4057">
        <w:rPr>
          <w:rStyle w:val="Refdenotaalpie"/>
          <w:rFonts w:asciiTheme="minorHAnsi" w:hAnsiTheme="minorHAnsi" w:cstheme="minorHAnsi"/>
          <w:sz w:val="18"/>
          <w:szCs w:val="18"/>
        </w:rPr>
        <w:footnoteRef/>
      </w:r>
      <w:r w:rsidRPr="00CE4057">
        <w:rPr>
          <w:rFonts w:asciiTheme="minorHAnsi" w:hAnsiTheme="minorHAnsi" w:cstheme="minorHAnsi"/>
          <w:sz w:val="18"/>
          <w:szCs w:val="18"/>
        </w:rPr>
        <w:t xml:space="preserve"> Los Licitantes al individualizar la Oferta de Garantía pueden incluir la firma de dos representantes, dada su política de mancomunidad de poderes, sin que esto pueda considerarse una modificación indebida del Formato de Oferta de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A8B67" w14:textId="77777777" w:rsidR="007B7EE9" w:rsidRDefault="007B7E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38B0017A"/>
    <w:multiLevelType w:val="hybridMultilevel"/>
    <w:tmpl w:val="E6E6C2FC"/>
    <w:lvl w:ilvl="0" w:tplc="C8A61F14">
      <w:start w:val="1"/>
      <w:numFmt w:val="lowerRoman"/>
      <w:lvlText w:val="(%1)"/>
      <w:lvlJc w:val="left"/>
      <w:pPr>
        <w:ind w:left="720" w:hanging="720"/>
      </w:pPr>
      <w:rPr>
        <w:rFonts w:eastAsia="Times New Roman"/>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39227C20"/>
    <w:multiLevelType w:val="hybridMultilevel"/>
    <w:tmpl w:val="9CD64A96"/>
    <w:lvl w:ilvl="0" w:tplc="72164D0E">
      <w:start w:val="1"/>
      <w:numFmt w:val="lowerRoman"/>
      <w:lvlText w:val="(%1)"/>
      <w:lvlJc w:val="left"/>
      <w:pPr>
        <w:ind w:left="1080" w:hanging="720"/>
      </w:pPr>
      <w:rPr>
        <w:rFonts w:eastAsiaTheme="minorHAnsi"/>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A53053B"/>
    <w:multiLevelType w:val="hybridMultilevel"/>
    <w:tmpl w:val="CF8CD078"/>
    <w:lvl w:ilvl="0" w:tplc="CCBCC6CE">
      <w:start w:val="1"/>
      <w:numFmt w:val="lowerLetter"/>
      <w:lvlText w:val="(%1)"/>
      <w:lvlJc w:val="left"/>
      <w:pPr>
        <w:ind w:left="360" w:hanging="360"/>
      </w:pPr>
      <w:rPr>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CC"/>
    <w:rsid w:val="00015D76"/>
    <w:rsid w:val="000419E5"/>
    <w:rsid w:val="00064384"/>
    <w:rsid w:val="00076072"/>
    <w:rsid w:val="000A3D22"/>
    <w:rsid w:val="000C55E3"/>
    <w:rsid w:val="00110105"/>
    <w:rsid w:val="00115524"/>
    <w:rsid w:val="00125632"/>
    <w:rsid w:val="001455CE"/>
    <w:rsid w:val="00145AF3"/>
    <w:rsid w:val="00156D4C"/>
    <w:rsid w:val="001715A7"/>
    <w:rsid w:val="001A3082"/>
    <w:rsid w:val="001B334A"/>
    <w:rsid w:val="001E449D"/>
    <w:rsid w:val="001F0B66"/>
    <w:rsid w:val="002178FC"/>
    <w:rsid w:val="00245A0E"/>
    <w:rsid w:val="00253C09"/>
    <w:rsid w:val="002A0DB6"/>
    <w:rsid w:val="002A721A"/>
    <w:rsid w:val="002B04D2"/>
    <w:rsid w:val="002D1A3A"/>
    <w:rsid w:val="002D3DB3"/>
    <w:rsid w:val="00305931"/>
    <w:rsid w:val="00321C3B"/>
    <w:rsid w:val="00360575"/>
    <w:rsid w:val="00372245"/>
    <w:rsid w:val="00396738"/>
    <w:rsid w:val="003F3B41"/>
    <w:rsid w:val="003F74DC"/>
    <w:rsid w:val="004040E2"/>
    <w:rsid w:val="004106F5"/>
    <w:rsid w:val="00420F2D"/>
    <w:rsid w:val="004244CB"/>
    <w:rsid w:val="00446318"/>
    <w:rsid w:val="004546A4"/>
    <w:rsid w:val="00462002"/>
    <w:rsid w:val="00484726"/>
    <w:rsid w:val="004A66E4"/>
    <w:rsid w:val="004A74D4"/>
    <w:rsid w:val="004D1B68"/>
    <w:rsid w:val="004D2502"/>
    <w:rsid w:val="004F20A6"/>
    <w:rsid w:val="004F758C"/>
    <w:rsid w:val="00525BA8"/>
    <w:rsid w:val="00526781"/>
    <w:rsid w:val="0056327C"/>
    <w:rsid w:val="0056530D"/>
    <w:rsid w:val="00570DF8"/>
    <w:rsid w:val="00572E5C"/>
    <w:rsid w:val="00575A8E"/>
    <w:rsid w:val="00577A13"/>
    <w:rsid w:val="00596887"/>
    <w:rsid w:val="00626AD0"/>
    <w:rsid w:val="00657027"/>
    <w:rsid w:val="006843FF"/>
    <w:rsid w:val="006C06C7"/>
    <w:rsid w:val="006D1026"/>
    <w:rsid w:val="006D5E98"/>
    <w:rsid w:val="006E4586"/>
    <w:rsid w:val="00783F5D"/>
    <w:rsid w:val="00784D83"/>
    <w:rsid w:val="007B7EE9"/>
    <w:rsid w:val="007C093B"/>
    <w:rsid w:val="007C743B"/>
    <w:rsid w:val="007E7CD4"/>
    <w:rsid w:val="00804C41"/>
    <w:rsid w:val="00855322"/>
    <w:rsid w:val="00861D16"/>
    <w:rsid w:val="008D6A25"/>
    <w:rsid w:val="008E0B2C"/>
    <w:rsid w:val="009211D7"/>
    <w:rsid w:val="00930F02"/>
    <w:rsid w:val="00940E49"/>
    <w:rsid w:val="00982E4C"/>
    <w:rsid w:val="009A21A8"/>
    <w:rsid w:val="009B2546"/>
    <w:rsid w:val="009C25F6"/>
    <w:rsid w:val="009C47B4"/>
    <w:rsid w:val="009E4ADF"/>
    <w:rsid w:val="009E7126"/>
    <w:rsid w:val="00A90744"/>
    <w:rsid w:val="00AD735E"/>
    <w:rsid w:val="00AF362E"/>
    <w:rsid w:val="00AF6ECC"/>
    <w:rsid w:val="00B6050D"/>
    <w:rsid w:val="00B721CB"/>
    <w:rsid w:val="00B81281"/>
    <w:rsid w:val="00BA047F"/>
    <w:rsid w:val="00BB2627"/>
    <w:rsid w:val="00BC029B"/>
    <w:rsid w:val="00BE15F6"/>
    <w:rsid w:val="00BE64DD"/>
    <w:rsid w:val="00C02040"/>
    <w:rsid w:val="00C300D0"/>
    <w:rsid w:val="00C42575"/>
    <w:rsid w:val="00C4698E"/>
    <w:rsid w:val="00C737B7"/>
    <w:rsid w:val="00C95D3A"/>
    <w:rsid w:val="00CB576A"/>
    <w:rsid w:val="00CC649D"/>
    <w:rsid w:val="00CD7CF9"/>
    <w:rsid w:val="00CE4057"/>
    <w:rsid w:val="00D2612D"/>
    <w:rsid w:val="00D33DC8"/>
    <w:rsid w:val="00D4014E"/>
    <w:rsid w:val="00D61F41"/>
    <w:rsid w:val="00DC709B"/>
    <w:rsid w:val="00E2067D"/>
    <w:rsid w:val="00E41106"/>
    <w:rsid w:val="00E44974"/>
    <w:rsid w:val="00E67F48"/>
    <w:rsid w:val="00EF170F"/>
    <w:rsid w:val="00EF5043"/>
    <w:rsid w:val="00EF54D2"/>
    <w:rsid w:val="00F06536"/>
    <w:rsid w:val="00F069B6"/>
    <w:rsid w:val="00F40522"/>
    <w:rsid w:val="00F522F9"/>
    <w:rsid w:val="00F91CB4"/>
    <w:rsid w:val="00FE6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35A8"/>
  <w15:chartTrackingRefBased/>
  <w15:docId w15:val="{3F64FEFA-AEFB-48B6-9D55-CF57146F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CC"/>
    <w:pPr>
      <w:spacing w:after="0" w:line="312" w:lineRule="auto"/>
      <w:jc w:val="both"/>
    </w:pPr>
    <w:rPr>
      <w:rFonts w:ascii="Verdana" w:hAnsi="Verdana" w:cs="Times New Roman"/>
      <w:spacing w:val="4"/>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6ECC"/>
    <w:pPr>
      <w:spacing w:after="0" w:line="288" w:lineRule="auto"/>
      <w:jc w:val="both"/>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F6ECC"/>
    <w:pPr>
      <w:spacing w:line="240" w:lineRule="auto"/>
      <w:jc w:val="left"/>
    </w:pPr>
    <w:rPr>
      <w:rFonts w:ascii="Times New Roman" w:hAnsi="Times New Roman"/>
      <w:spacing w:val="0"/>
      <w:lang w:val="es-MX"/>
    </w:rPr>
  </w:style>
  <w:style w:type="character" w:customStyle="1" w:styleId="TextonotapieCar">
    <w:name w:val="Texto nota pie Car"/>
    <w:basedOn w:val="Fuentedeprrafopredeter"/>
    <w:link w:val="Textonotapie"/>
    <w:uiPriority w:val="99"/>
    <w:semiHidden/>
    <w:rsid w:val="00AF6ECC"/>
    <w:rPr>
      <w:rFonts w:ascii="Times New Roman" w:hAnsi="Times New Roman" w:cs="Times New Roman"/>
      <w:sz w:val="20"/>
      <w:szCs w:val="20"/>
    </w:rPr>
  </w:style>
  <w:style w:type="paragraph" w:customStyle="1" w:styleId="Sinespaciado1">
    <w:name w:val="Sin espaciado1"/>
    <w:uiPriority w:val="1"/>
    <w:qFormat/>
    <w:rsid w:val="00AF6ECC"/>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AF6ECC"/>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basedOn w:val="Fuentedeprrafopredeter"/>
    <w:uiPriority w:val="99"/>
    <w:semiHidden/>
    <w:unhideWhenUsed/>
    <w:rsid w:val="00AF6ECC"/>
    <w:rPr>
      <w:vertAlign w:val="superscript"/>
    </w:rPr>
  </w:style>
  <w:style w:type="paragraph" w:styleId="Textodeglobo">
    <w:name w:val="Balloon Text"/>
    <w:basedOn w:val="Normal"/>
    <w:link w:val="TextodegloboCar"/>
    <w:uiPriority w:val="99"/>
    <w:semiHidden/>
    <w:unhideWhenUsed/>
    <w:rsid w:val="00C737B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7B7"/>
    <w:rPr>
      <w:rFonts w:ascii="Segoe UI" w:hAnsi="Segoe UI" w:cs="Segoe UI"/>
      <w:spacing w:val="4"/>
      <w:sz w:val="18"/>
      <w:szCs w:val="18"/>
      <w:lang w:val="es-ES"/>
    </w:rPr>
  </w:style>
  <w:style w:type="paragraph" w:styleId="Encabezado">
    <w:name w:val="header"/>
    <w:basedOn w:val="Normal"/>
    <w:link w:val="EncabezadoCar"/>
    <w:uiPriority w:val="99"/>
    <w:unhideWhenUsed/>
    <w:rsid w:val="007B7EE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B7EE9"/>
    <w:rPr>
      <w:rFonts w:ascii="Verdana" w:hAnsi="Verdana" w:cs="Times New Roman"/>
      <w:spacing w:val="4"/>
      <w:sz w:val="20"/>
      <w:szCs w:val="20"/>
      <w:lang w:val="es-ES"/>
    </w:rPr>
  </w:style>
  <w:style w:type="paragraph" w:styleId="Piedepgina">
    <w:name w:val="footer"/>
    <w:basedOn w:val="Normal"/>
    <w:link w:val="PiedepginaCar"/>
    <w:uiPriority w:val="99"/>
    <w:rsid w:val="007B7EE9"/>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7B7EE9"/>
    <w:rPr>
      <w:rFonts w:ascii="Century Gothic" w:hAnsi="Century Gothic" w:cs="Times New Roman"/>
      <w:caps/>
      <w:spacing w:val="4"/>
      <w:sz w:val="14"/>
      <w:szCs w:val="20"/>
      <w:lang w:val="es-ES"/>
    </w:rPr>
  </w:style>
  <w:style w:type="character" w:customStyle="1" w:styleId="PrrafodelistaCar">
    <w:name w:val="Párrafo de lista Car"/>
    <w:link w:val="Prrafodelista"/>
    <w:uiPriority w:val="34"/>
    <w:locked/>
    <w:rsid w:val="007B7EE9"/>
  </w:style>
  <w:style w:type="paragraph" w:styleId="Prrafodelista">
    <w:name w:val="List Paragraph"/>
    <w:basedOn w:val="Normal"/>
    <w:link w:val="PrrafodelistaCar"/>
    <w:uiPriority w:val="34"/>
    <w:qFormat/>
    <w:rsid w:val="007B7EE9"/>
    <w:pPr>
      <w:spacing w:after="160" w:line="254" w:lineRule="auto"/>
      <w:ind w:left="720"/>
      <w:contextualSpacing/>
      <w:jc w:val="left"/>
    </w:pPr>
    <w:rPr>
      <w:rFonts w:asciiTheme="minorHAnsi" w:hAnsiTheme="minorHAnsi" w:cstheme="minorBidi"/>
      <w:spacing w:val="0"/>
      <w:sz w:val="22"/>
      <w:szCs w:val="22"/>
      <w:lang w:val="es-MX"/>
    </w:rPr>
  </w:style>
  <w:style w:type="character" w:styleId="Refdecomentario">
    <w:name w:val="annotation reference"/>
    <w:basedOn w:val="Fuentedeprrafopredeter"/>
    <w:uiPriority w:val="99"/>
    <w:semiHidden/>
    <w:unhideWhenUsed/>
    <w:rsid w:val="007B7EE9"/>
    <w:rPr>
      <w:sz w:val="16"/>
      <w:szCs w:val="16"/>
    </w:rPr>
  </w:style>
  <w:style w:type="paragraph" w:styleId="Textocomentario">
    <w:name w:val="annotation text"/>
    <w:basedOn w:val="Normal"/>
    <w:link w:val="TextocomentarioCar"/>
    <w:uiPriority w:val="99"/>
    <w:semiHidden/>
    <w:unhideWhenUsed/>
    <w:rsid w:val="007B7EE9"/>
    <w:pPr>
      <w:spacing w:line="240" w:lineRule="auto"/>
    </w:pPr>
  </w:style>
  <w:style w:type="character" w:customStyle="1" w:styleId="TextocomentarioCar">
    <w:name w:val="Texto comentario Car"/>
    <w:basedOn w:val="Fuentedeprrafopredeter"/>
    <w:link w:val="Textocomentario"/>
    <w:uiPriority w:val="99"/>
    <w:semiHidden/>
    <w:rsid w:val="007B7EE9"/>
    <w:rPr>
      <w:rFonts w:ascii="Verdana" w:hAnsi="Verdana" w:cs="Times New Roman"/>
      <w:spacing w:val="4"/>
      <w:sz w:val="20"/>
      <w:szCs w:val="20"/>
      <w:lang w:val="es-ES"/>
    </w:rPr>
  </w:style>
  <w:style w:type="paragraph" w:styleId="Asuntodelcomentario">
    <w:name w:val="annotation subject"/>
    <w:basedOn w:val="Textocomentario"/>
    <w:next w:val="Textocomentario"/>
    <w:link w:val="AsuntodelcomentarioCar"/>
    <w:uiPriority w:val="99"/>
    <w:semiHidden/>
    <w:unhideWhenUsed/>
    <w:rsid w:val="007B7EE9"/>
    <w:rPr>
      <w:b/>
      <w:bCs/>
    </w:rPr>
  </w:style>
  <w:style w:type="character" w:customStyle="1" w:styleId="AsuntodelcomentarioCar">
    <w:name w:val="Asunto del comentario Car"/>
    <w:basedOn w:val="TextocomentarioCar"/>
    <w:link w:val="Asuntodelcomentario"/>
    <w:uiPriority w:val="99"/>
    <w:semiHidden/>
    <w:rsid w:val="007B7EE9"/>
    <w:rPr>
      <w:rFonts w:ascii="Verdana" w:hAnsi="Verdana" w:cs="Times New Roman"/>
      <w:b/>
      <w:bCs/>
      <w:spacing w:val="4"/>
      <w:sz w:val="20"/>
      <w:szCs w:val="20"/>
      <w:lang w:val="es-ES"/>
    </w:rPr>
  </w:style>
  <w:style w:type="paragraph" w:styleId="Revisin">
    <w:name w:val="Revision"/>
    <w:hidden/>
    <w:uiPriority w:val="99"/>
    <w:semiHidden/>
    <w:rsid w:val="007B7EE9"/>
    <w:pPr>
      <w:spacing w:after="0" w:line="240" w:lineRule="auto"/>
    </w:pPr>
    <w:rPr>
      <w:rFonts w:ascii="Verdana" w:hAnsi="Verdana" w:cs="Times New Roman"/>
      <w:spacing w:val="4"/>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56150">
      <w:bodyDiv w:val="1"/>
      <w:marLeft w:val="0"/>
      <w:marRight w:val="0"/>
      <w:marTop w:val="0"/>
      <w:marBottom w:val="0"/>
      <w:divBdr>
        <w:top w:val="none" w:sz="0" w:space="0" w:color="auto"/>
        <w:left w:val="none" w:sz="0" w:space="0" w:color="auto"/>
        <w:bottom w:val="none" w:sz="0" w:space="0" w:color="auto"/>
        <w:right w:val="none" w:sz="0" w:space="0" w:color="auto"/>
      </w:divBdr>
    </w:div>
    <w:div w:id="936595123">
      <w:bodyDiv w:val="1"/>
      <w:marLeft w:val="0"/>
      <w:marRight w:val="0"/>
      <w:marTop w:val="0"/>
      <w:marBottom w:val="0"/>
      <w:divBdr>
        <w:top w:val="none" w:sz="0" w:space="0" w:color="auto"/>
        <w:left w:val="none" w:sz="0" w:space="0" w:color="auto"/>
        <w:bottom w:val="none" w:sz="0" w:space="0" w:color="auto"/>
        <w:right w:val="none" w:sz="0" w:space="0" w:color="auto"/>
      </w:divBdr>
    </w:div>
    <w:div w:id="1099104805">
      <w:bodyDiv w:val="1"/>
      <w:marLeft w:val="0"/>
      <w:marRight w:val="0"/>
      <w:marTop w:val="0"/>
      <w:marBottom w:val="0"/>
      <w:divBdr>
        <w:top w:val="none" w:sz="0" w:space="0" w:color="auto"/>
        <w:left w:val="none" w:sz="0" w:space="0" w:color="auto"/>
        <w:bottom w:val="none" w:sz="0" w:space="0" w:color="auto"/>
        <w:right w:val="none" w:sz="0" w:space="0" w:color="auto"/>
      </w:divBdr>
    </w:div>
    <w:div w:id="1452937551">
      <w:bodyDiv w:val="1"/>
      <w:marLeft w:val="0"/>
      <w:marRight w:val="0"/>
      <w:marTop w:val="0"/>
      <w:marBottom w:val="0"/>
      <w:divBdr>
        <w:top w:val="none" w:sz="0" w:space="0" w:color="auto"/>
        <w:left w:val="none" w:sz="0" w:space="0" w:color="auto"/>
        <w:bottom w:val="none" w:sz="0" w:space="0" w:color="auto"/>
        <w:right w:val="none" w:sz="0" w:space="0" w:color="auto"/>
      </w:divBdr>
    </w:div>
    <w:div w:id="14831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BE20-BE7E-4762-8497-5F6493D6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Guadalupe R</cp:lastModifiedBy>
  <cp:revision>2</cp:revision>
  <dcterms:created xsi:type="dcterms:W3CDTF">2021-05-15T02:38:00Z</dcterms:created>
  <dcterms:modified xsi:type="dcterms:W3CDTF">2021-05-15T02:38:00Z</dcterms:modified>
</cp:coreProperties>
</file>